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327" w:rsidRDefault="00147327" w:rsidP="00D76916">
      <w:pPr>
        <w:spacing w:line="440" w:lineRule="atLeast"/>
        <w:rPr>
          <w:rFonts w:ascii="標楷體" w:eastAsia="標楷體"/>
          <w:sz w:val="40"/>
        </w:rPr>
      </w:pPr>
      <w:r>
        <w:rPr>
          <w:rFonts w:ascii="標楷體" w:eastAsia="標楷體" w:hint="eastAsia"/>
          <w:sz w:val="40"/>
          <w:szCs w:val="40"/>
        </w:rPr>
        <w:t>臺灣銀行股份有限公司</w:t>
      </w:r>
      <w:r>
        <w:rPr>
          <w:rFonts w:ascii="標楷體" w:eastAsia="標楷體" w:hint="eastAsia"/>
          <w:sz w:val="40"/>
        </w:rPr>
        <w:t>行員升遷辦法</w:t>
      </w:r>
    </w:p>
    <w:p w:rsidR="00147327" w:rsidRPr="00C5379C" w:rsidRDefault="00147327" w:rsidP="005B4446">
      <w:pPr>
        <w:spacing w:line="200" w:lineRule="exact"/>
        <w:jc w:val="both"/>
        <w:rPr>
          <w:rFonts w:ascii="標楷體" w:eastAsia="標楷體"/>
          <w:sz w:val="22"/>
          <w:szCs w:val="22"/>
        </w:rPr>
      </w:pPr>
      <w:r w:rsidRPr="00C5379C">
        <w:rPr>
          <w:rFonts w:ascii="標楷體" w:eastAsia="標楷體" w:hint="eastAsia"/>
          <w:sz w:val="22"/>
          <w:szCs w:val="22"/>
        </w:rPr>
        <w:t>9</w:t>
      </w:r>
      <w:r w:rsidR="007A51AF" w:rsidRPr="00C5379C">
        <w:rPr>
          <w:rFonts w:ascii="標楷體" w:eastAsia="標楷體" w:hint="eastAsia"/>
          <w:sz w:val="22"/>
          <w:szCs w:val="22"/>
        </w:rPr>
        <w:t>1</w:t>
      </w:r>
      <w:r w:rsidRPr="00C5379C">
        <w:rPr>
          <w:rFonts w:ascii="標楷體" w:eastAsia="標楷體" w:hint="eastAsia"/>
          <w:sz w:val="22"/>
          <w:szCs w:val="22"/>
        </w:rPr>
        <w:t>.</w:t>
      </w:r>
      <w:r w:rsidR="00F84448" w:rsidRPr="00C5379C">
        <w:rPr>
          <w:rFonts w:ascii="標楷體" w:eastAsia="標楷體" w:hint="eastAsia"/>
          <w:sz w:val="22"/>
          <w:szCs w:val="22"/>
        </w:rPr>
        <w:t>0</w:t>
      </w:r>
      <w:r w:rsidRPr="00C5379C">
        <w:rPr>
          <w:rFonts w:ascii="標楷體" w:eastAsia="標楷體" w:hint="eastAsia"/>
          <w:sz w:val="22"/>
          <w:szCs w:val="22"/>
        </w:rPr>
        <w:t>2.</w:t>
      </w:r>
      <w:r w:rsidR="00F84448" w:rsidRPr="00C5379C">
        <w:rPr>
          <w:rFonts w:ascii="標楷體" w:eastAsia="標楷體" w:hint="eastAsia"/>
          <w:sz w:val="22"/>
          <w:szCs w:val="22"/>
        </w:rPr>
        <w:t>0</w:t>
      </w:r>
      <w:r w:rsidRPr="00C5379C">
        <w:rPr>
          <w:rFonts w:ascii="標楷體" w:eastAsia="標楷體" w:hint="eastAsia"/>
          <w:sz w:val="22"/>
          <w:szCs w:val="22"/>
        </w:rPr>
        <w:t>1本行第</w:t>
      </w:r>
      <w:r w:rsidR="00FA4DA9" w:rsidRPr="00C5379C">
        <w:rPr>
          <w:rFonts w:ascii="標楷體" w:eastAsia="標楷體" w:hint="eastAsia"/>
          <w:sz w:val="22"/>
          <w:szCs w:val="22"/>
        </w:rPr>
        <w:t>1287</w:t>
      </w:r>
      <w:r w:rsidRPr="00C5379C">
        <w:rPr>
          <w:rFonts w:ascii="標楷體" w:eastAsia="標楷體" w:hint="eastAsia"/>
          <w:sz w:val="22"/>
          <w:szCs w:val="22"/>
        </w:rPr>
        <w:t>次常務董事會議決議通過</w:t>
      </w:r>
    </w:p>
    <w:p w:rsidR="00147327" w:rsidRPr="00C5379C" w:rsidRDefault="00147327" w:rsidP="005B4446">
      <w:pPr>
        <w:spacing w:line="200" w:lineRule="exact"/>
        <w:jc w:val="both"/>
        <w:rPr>
          <w:rFonts w:ascii="標楷體" w:eastAsia="標楷體"/>
          <w:sz w:val="22"/>
          <w:szCs w:val="22"/>
        </w:rPr>
      </w:pPr>
      <w:r w:rsidRPr="00C5379C">
        <w:rPr>
          <w:rFonts w:ascii="標楷體" w:eastAsia="標楷體" w:hint="eastAsia"/>
          <w:sz w:val="22"/>
          <w:szCs w:val="22"/>
        </w:rPr>
        <w:t>91.</w:t>
      </w:r>
      <w:r w:rsidR="00F84448" w:rsidRPr="00C5379C">
        <w:rPr>
          <w:rFonts w:ascii="標楷體" w:eastAsia="標楷體" w:hint="eastAsia"/>
          <w:sz w:val="22"/>
          <w:szCs w:val="22"/>
        </w:rPr>
        <w:t>0</w:t>
      </w:r>
      <w:r w:rsidRPr="00C5379C">
        <w:rPr>
          <w:rFonts w:ascii="標楷體" w:eastAsia="標楷體" w:hint="eastAsia"/>
          <w:sz w:val="22"/>
          <w:szCs w:val="22"/>
        </w:rPr>
        <w:t>2.26銀人字第</w:t>
      </w:r>
      <w:r w:rsidR="00FA4DA9" w:rsidRPr="00C5379C">
        <w:rPr>
          <w:rFonts w:ascii="標楷體" w:eastAsia="標楷體" w:hint="eastAsia"/>
          <w:sz w:val="22"/>
          <w:szCs w:val="22"/>
        </w:rPr>
        <w:t>09101039031</w:t>
      </w:r>
      <w:r w:rsidRPr="00C5379C">
        <w:rPr>
          <w:rFonts w:ascii="標楷體" w:eastAsia="標楷體" w:hint="eastAsia"/>
          <w:sz w:val="22"/>
          <w:szCs w:val="22"/>
        </w:rPr>
        <w:t>號函訂定</w:t>
      </w:r>
    </w:p>
    <w:p w:rsidR="00147327" w:rsidRPr="00C5379C" w:rsidRDefault="00147327" w:rsidP="005B4446">
      <w:pPr>
        <w:spacing w:line="200" w:lineRule="exact"/>
        <w:jc w:val="both"/>
        <w:rPr>
          <w:rFonts w:ascii="標楷體" w:eastAsia="標楷體"/>
          <w:sz w:val="22"/>
          <w:szCs w:val="22"/>
        </w:rPr>
      </w:pPr>
      <w:r w:rsidRPr="00C5379C">
        <w:rPr>
          <w:rFonts w:ascii="標楷體" w:eastAsia="標楷體" w:hint="eastAsia"/>
          <w:sz w:val="22"/>
          <w:szCs w:val="22"/>
        </w:rPr>
        <w:t>91.</w:t>
      </w:r>
      <w:r w:rsidR="00F84448" w:rsidRPr="00C5379C">
        <w:rPr>
          <w:rFonts w:ascii="標楷體" w:eastAsia="標楷體" w:hint="eastAsia"/>
          <w:sz w:val="22"/>
          <w:szCs w:val="22"/>
        </w:rPr>
        <w:t>0</w:t>
      </w:r>
      <w:r w:rsidRPr="00C5379C">
        <w:rPr>
          <w:rFonts w:ascii="標楷體" w:eastAsia="標楷體" w:hint="eastAsia"/>
          <w:sz w:val="22"/>
          <w:szCs w:val="22"/>
        </w:rPr>
        <w:t>5.</w:t>
      </w:r>
      <w:r w:rsidR="00F84448" w:rsidRPr="00C5379C">
        <w:rPr>
          <w:rFonts w:ascii="標楷體" w:eastAsia="標楷體" w:hint="eastAsia"/>
          <w:sz w:val="22"/>
          <w:szCs w:val="22"/>
        </w:rPr>
        <w:t>0</w:t>
      </w:r>
      <w:r w:rsidRPr="00C5379C">
        <w:rPr>
          <w:rFonts w:ascii="標楷體" w:eastAsia="標楷體" w:hint="eastAsia"/>
          <w:sz w:val="22"/>
          <w:szCs w:val="22"/>
        </w:rPr>
        <w:t>3本行第</w:t>
      </w:r>
      <w:r w:rsidR="00FA4DA9" w:rsidRPr="00C5379C">
        <w:rPr>
          <w:rFonts w:ascii="標楷體" w:eastAsia="標楷體" w:hint="eastAsia"/>
          <w:sz w:val="22"/>
          <w:szCs w:val="22"/>
        </w:rPr>
        <w:t>143</w:t>
      </w:r>
      <w:r w:rsidRPr="00C5379C">
        <w:rPr>
          <w:rFonts w:ascii="標楷體" w:eastAsia="標楷體" w:hint="eastAsia"/>
          <w:sz w:val="22"/>
          <w:szCs w:val="22"/>
        </w:rPr>
        <w:t>次董事會議決議通過</w:t>
      </w:r>
    </w:p>
    <w:p w:rsidR="00147327" w:rsidRPr="00C5379C" w:rsidRDefault="00147327" w:rsidP="005B4446">
      <w:pPr>
        <w:spacing w:line="200" w:lineRule="exact"/>
        <w:jc w:val="both"/>
        <w:rPr>
          <w:rFonts w:ascii="標楷體" w:eastAsia="標楷體"/>
          <w:sz w:val="22"/>
          <w:szCs w:val="22"/>
        </w:rPr>
      </w:pPr>
      <w:r w:rsidRPr="00C5379C">
        <w:rPr>
          <w:rFonts w:ascii="標楷體" w:eastAsia="標楷體" w:hint="eastAsia"/>
          <w:sz w:val="22"/>
          <w:szCs w:val="22"/>
        </w:rPr>
        <w:t>91.</w:t>
      </w:r>
      <w:r w:rsidR="00F84448" w:rsidRPr="00C5379C">
        <w:rPr>
          <w:rFonts w:ascii="標楷體" w:eastAsia="標楷體" w:hint="eastAsia"/>
          <w:sz w:val="22"/>
          <w:szCs w:val="22"/>
        </w:rPr>
        <w:t>0</w:t>
      </w:r>
      <w:r w:rsidRPr="00C5379C">
        <w:rPr>
          <w:rFonts w:ascii="標楷體" w:eastAsia="標楷體" w:hint="eastAsia"/>
          <w:sz w:val="22"/>
          <w:szCs w:val="22"/>
        </w:rPr>
        <w:t>5.27銀人字第</w:t>
      </w:r>
      <w:r w:rsidR="00FA4DA9" w:rsidRPr="00C5379C">
        <w:rPr>
          <w:rFonts w:ascii="標楷體" w:eastAsia="標楷體" w:hint="eastAsia"/>
          <w:sz w:val="22"/>
          <w:szCs w:val="22"/>
        </w:rPr>
        <w:t>09101107701</w:t>
      </w:r>
      <w:r w:rsidRPr="00C5379C">
        <w:rPr>
          <w:rFonts w:ascii="標楷體" w:eastAsia="標楷體" w:hint="eastAsia"/>
          <w:sz w:val="22"/>
          <w:szCs w:val="22"/>
        </w:rPr>
        <w:t>號函修正</w:t>
      </w:r>
    </w:p>
    <w:p w:rsidR="00F84448" w:rsidRPr="00C5379C" w:rsidRDefault="00F84448" w:rsidP="005B4446">
      <w:pPr>
        <w:spacing w:line="200" w:lineRule="exact"/>
        <w:ind w:left="924" w:hangingChars="420" w:hanging="924"/>
        <w:jc w:val="both"/>
        <w:rPr>
          <w:rFonts w:ascii="標楷體" w:eastAsia="標楷體"/>
          <w:sz w:val="22"/>
          <w:szCs w:val="22"/>
        </w:rPr>
      </w:pPr>
      <w:r w:rsidRPr="00C5379C">
        <w:rPr>
          <w:rFonts w:ascii="標楷體" w:eastAsia="標楷體" w:hint="eastAsia"/>
          <w:sz w:val="22"/>
          <w:szCs w:val="22"/>
        </w:rPr>
        <w:t>92.07.18本行第</w:t>
      </w:r>
      <w:r w:rsidR="000E6619" w:rsidRPr="00C5379C">
        <w:rPr>
          <w:rFonts w:ascii="標楷體" w:eastAsia="標楷體" w:hint="eastAsia"/>
          <w:sz w:val="22"/>
          <w:szCs w:val="22"/>
        </w:rPr>
        <w:t>1</w:t>
      </w:r>
      <w:r w:rsidRPr="00C5379C">
        <w:rPr>
          <w:rFonts w:ascii="標楷體" w:eastAsia="標楷體" w:hint="eastAsia"/>
          <w:sz w:val="22"/>
          <w:szCs w:val="22"/>
        </w:rPr>
        <w:t>屆第</w:t>
      </w:r>
      <w:r w:rsidR="000E6619" w:rsidRPr="00C5379C">
        <w:rPr>
          <w:rFonts w:ascii="標楷體" w:eastAsia="標楷體" w:hint="eastAsia"/>
          <w:sz w:val="22"/>
          <w:szCs w:val="22"/>
        </w:rPr>
        <w:t>4</w:t>
      </w:r>
      <w:r w:rsidRPr="00C5379C">
        <w:rPr>
          <w:rFonts w:ascii="標楷體" w:eastAsia="標楷體" w:hint="eastAsia"/>
          <w:sz w:val="22"/>
          <w:szCs w:val="22"/>
        </w:rPr>
        <w:t xml:space="preserve">次常務董事會通過92.07.28銀企乙字第09200174011號函發布修正「臺灣銀行」為「臺灣銀行股份有限公司」 </w:t>
      </w:r>
    </w:p>
    <w:p w:rsidR="00147327" w:rsidRPr="00C5379C" w:rsidRDefault="00147327" w:rsidP="005B4446">
      <w:pPr>
        <w:spacing w:line="200" w:lineRule="exact"/>
        <w:jc w:val="both"/>
        <w:rPr>
          <w:rFonts w:ascii="標楷體" w:eastAsia="標楷體"/>
          <w:sz w:val="22"/>
          <w:szCs w:val="22"/>
        </w:rPr>
      </w:pPr>
      <w:r w:rsidRPr="00C5379C">
        <w:rPr>
          <w:rFonts w:ascii="標楷體" w:eastAsia="標楷體" w:hint="eastAsia"/>
          <w:sz w:val="22"/>
          <w:szCs w:val="22"/>
        </w:rPr>
        <w:t>93.</w:t>
      </w:r>
      <w:r w:rsidR="00F84448" w:rsidRPr="00C5379C">
        <w:rPr>
          <w:rFonts w:ascii="標楷體" w:eastAsia="標楷體" w:hint="eastAsia"/>
          <w:sz w:val="22"/>
          <w:szCs w:val="22"/>
        </w:rPr>
        <w:t>0</w:t>
      </w:r>
      <w:r w:rsidRPr="00C5379C">
        <w:rPr>
          <w:rFonts w:ascii="標楷體" w:eastAsia="標楷體" w:hint="eastAsia"/>
          <w:sz w:val="22"/>
          <w:szCs w:val="22"/>
        </w:rPr>
        <w:t>7.30本行第</w:t>
      </w:r>
      <w:r w:rsidR="00FA4DA9" w:rsidRPr="00C5379C">
        <w:rPr>
          <w:rFonts w:ascii="標楷體" w:eastAsia="標楷體" w:hint="eastAsia"/>
          <w:sz w:val="22"/>
          <w:szCs w:val="22"/>
        </w:rPr>
        <w:t>1</w:t>
      </w:r>
      <w:r w:rsidRPr="00C5379C">
        <w:rPr>
          <w:rFonts w:ascii="標楷體" w:eastAsia="標楷體" w:hint="eastAsia"/>
          <w:sz w:val="22"/>
          <w:szCs w:val="22"/>
        </w:rPr>
        <w:t>屆第</w:t>
      </w:r>
      <w:r w:rsidR="00FA4DA9" w:rsidRPr="00C5379C">
        <w:rPr>
          <w:rFonts w:ascii="標楷體" w:eastAsia="標楷體" w:hint="eastAsia"/>
          <w:sz w:val="22"/>
          <w:szCs w:val="22"/>
        </w:rPr>
        <w:t>42</w:t>
      </w:r>
      <w:r w:rsidRPr="00C5379C">
        <w:rPr>
          <w:rFonts w:ascii="標楷體" w:eastAsia="標楷體" w:hint="eastAsia"/>
          <w:sz w:val="22"/>
          <w:szCs w:val="22"/>
        </w:rPr>
        <w:t>次常務董事會議決議通過</w:t>
      </w:r>
    </w:p>
    <w:p w:rsidR="00147327" w:rsidRPr="00C5379C" w:rsidRDefault="00147327" w:rsidP="005B4446">
      <w:pPr>
        <w:spacing w:line="200" w:lineRule="exact"/>
        <w:jc w:val="both"/>
        <w:rPr>
          <w:rFonts w:ascii="標楷體" w:eastAsia="標楷體"/>
          <w:sz w:val="22"/>
          <w:szCs w:val="22"/>
        </w:rPr>
      </w:pPr>
      <w:r w:rsidRPr="00C5379C">
        <w:rPr>
          <w:rFonts w:ascii="標楷體" w:eastAsia="標楷體" w:hint="eastAsia"/>
          <w:sz w:val="22"/>
          <w:szCs w:val="22"/>
        </w:rPr>
        <w:t>93.</w:t>
      </w:r>
      <w:r w:rsidR="00F84448" w:rsidRPr="00C5379C">
        <w:rPr>
          <w:rFonts w:ascii="標楷體" w:eastAsia="標楷體" w:hint="eastAsia"/>
          <w:sz w:val="22"/>
          <w:szCs w:val="22"/>
        </w:rPr>
        <w:t>0</w:t>
      </w:r>
      <w:r w:rsidRPr="00C5379C">
        <w:rPr>
          <w:rFonts w:ascii="標楷體" w:eastAsia="標楷體" w:hint="eastAsia"/>
          <w:sz w:val="22"/>
          <w:szCs w:val="22"/>
        </w:rPr>
        <w:t>8.11銀人字第</w:t>
      </w:r>
      <w:r w:rsidR="00FA4DA9" w:rsidRPr="00C5379C">
        <w:rPr>
          <w:rFonts w:ascii="標楷體" w:eastAsia="標楷體" w:hint="eastAsia"/>
          <w:sz w:val="22"/>
          <w:szCs w:val="22"/>
        </w:rPr>
        <w:t>09300173111</w:t>
      </w:r>
      <w:r w:rsidRPr="00C5379C">
        <w:rPr>
          <w:rFonts w:ascii="標楷體" w:eastAsia="標楷體" w:hint="eastAsia"/>
          <w:sz w:val="22"/>
          <w:szCs w:val="22"/>
        </w:rPr>
        <w:t>號函修正</w:t>
      </w:r>
    </w:p>
    <w:p w:rsidR="00FA4DA9" w:rsidRPr="00C5379C" w:rsidRDefault="00FA4DA9" w:rsidP="005B4446">
      <w:pPr>
        <w:spacing w:line="200" w:lineRule="exact"/>
        <w:jc w:val="both"/>
        <w:rPr>
          <w:rFonts w:ascii="標楷體" w:eastAsia="標楷體"/>
          <w:sz w:val="22"/>
          <w:szCs w:val="22"/>
        </w:rPr>
      </w:pPr>
      <w:r w:rsidRPr="00C5379C">
        <w:rPr>
          <w:rFonts w:ascii="標楷體" w:eastAsia="標楷體" w:hint="eastAsia"/>
          <w:sz w:val="22"/>
          <w:szCs w:val="22"/>
        </w:rPr>
        <w:t>94.</w:t>
      </w:r>
      <w:r w:rsidR="00F84448" w:rsidRPr="00C5379C">
        <w:rPr>
          <w:rFonts w:ascii="標楷體" w:eastAsia="標楷體" w:hint="eastAsia"/>
          <w:sz w:val="22"/>
          <w:szCs w:val="22"/>
        </w:rPr>
        <w:t>0</w:t>
      </w:r>
      <w:r w:rsidRPr="00C5379C">
        <w:rPr>
          <w:rFonts w:ascii="標楷體" w:eastAsia="標楷體" w:hint="eastAsia"/>
          <w:sz w:val="22"/>
          <w:szCs w:val="22"/>
        </w:rPr>
        <w:t>8.19本行第1屆第90</w:t>
      </w:r>
      <w:r w:rsidR="000E6619" w:rsidRPr="00C5379C">
        <w:rPr>
          <w:rFonts w:ascii="標楷體" w:eastAsia="標楷體" w:hint="eastAsia"/>
          <w:sz w:val="22"/>
          <w:szCs w:val="22"/>
        </w:rPr>
        <w:t>次</w:t>
      </w:r>
      <w:r w:rsidRPr="00C5379C">
        <w:rPr>
          <w:rFonts w:ascii="標楷體" w:eastAsia="標楷體" w:hint="eastAsia"/>
          <w:sz w:val="22"/>
          <w:szCs w:val="22"/>
        </w:rPr>
        <w:t>常務董事會議決議通過</w:t>
      </w:r>
    </w:p>
    <w:p w:rsidR="00147327" w:rsidRPr="00C5379C" w:rsidRDefault="00FA4DA9" w:rsidP="005B4446">
      <w:pPr>
        <w:spacing w:line="200" w:lineRule="exact"/>
        <w:jc w:val="both"/>
        <w:rPr>
          <w:rFonts w:ascii="標楷體" w:eastAsia="標楷體"/>
          <w:sz w:val="22"/>
          <w:szCs w:val="22"/>
        </w:rPr>
      </w:pPr>
      <w:r w:rsidRPr="00C5379C">
        <w:rPr>
          <w:rFonts w:ascii="標楷體" w:eastAsia="標楷體" w:hint="eastAsia"/>
          <w:sz w:val="22"/>
          <w:szCs w:val="22"/>
        </w:rPr>
        <w:t>94.</w:t>
      </w:r>
      <w:r w:rsidR="00F84448" w:rsidRPr="00C5379C">
        <w:rPr>
          <w:rFonts w:ascii="標楷體" w:eastAsia="標楷體" w:hint="eastAsia"/>
          <w:sz w:val="22"/>
          <w:szCs w:val="22"/>
        </w:rPr>
        <w:t>0</w:t>
      </w:r>
      <w:r w:rsidR="009A43F9" w:rsidRPr="00C5379C">
        <w:rPr>
          <w:rFonts w:ascii="標楷體" w:eastAsia="標楷體" w:hint="eastAsia"/>
          <w:sz w:val="22"/>
          <w:szCs w:val="22"/>
        </w:rPr>
        <w:t>9</w:t>
      </w:r>
      <w:r w:rsidRPr="00C5379C">
        <w:rPr>
          <w:rFonts w:ascii="標楷體" w:eastAsia="標楷體" w:hint="eastAsia"/>
          <w:sz w:val="22"/>
          <w:szCs w:val="22"/>
        </w:rPr>
        <w:t>.</w:t>
      </w:r>
      <w:r w:rsidR="009A43F9" w:rsidRPr="00C5379C">
        <w:rPr>
          <w:rFonts w:ascii="標楷體" w:eastAsia="標楷體" w:hint="eastAsia"/>
          <w:sz w:val="22"/>
          <w:szCs w:val="22"/>
        </w:rPr>
        <w:t>02</w:t>
      </w:r>
      <w:r w:rsidRPr="00C5379C">
        <w:rPr>
          <w:rFonts w:ascii="標楷體" w:eastAsia="標楷體" w:hint="eastAsia"/>
          <w:sz w:val="22"/>
          <w:szCs w:val="22"/>
        </w:rPr>
        <w:t>銀人字第</w:t>
      </w:r>
      <w:r w:rsidR="009A43F9" w:rsidRPr="00C5379C">
        <w:rPr>
          <w:rFonts w:ascii="標楷體" w:eastAsia="標楷體" w:hint="eastAsia"/>
          <w:sz w:val="22"/>
          <w:szCs w:val="22"/>
        </w:rPr>
        <w:t>09400203811</w:t>
      </w:r>
      <w:r w:rsidRPr="00C5379C">
        <w:rPr>
          <w:rFonts w:ascii="標楷體" w:eastAsia="標楷體" w:hint="eastAsia"/>
          <w:sz w:val="22"/>
          <w:szCs w:val="22"/>
        </w:rPr>
        <w:t>號函修正</w:t>
      </w:r>
    </w:p>
    <w:p w:rsidR="00985E95" w:rsidRPr="00C5379C" w:rsidRDefault="00985E95" w:rsidP="005B4446">
      <w:pPr>
        <w:spacing w:line="200" w:lineRule="exact"/>
        <w:jc w:val="both"/>
        <w:rPr>
          <w:rFonts w:ascii="標楷體" w:eastAsia="標楷體"/>
          <w:sz w:val="22"/>
          <w:szCs w:val="22"/>
        </w:rPr>
      </w:pPr>
      <w:r w:rsidRPr="00C5379C">
        <w:rPr>
          <w:rFonts w:ascii="標楷體" w:eastAsia="標楷體" w:hint="eastAsia"/>
          <w:sz w:val="22"/>
          <w:szCs w:val="22"/>
        </w:rPr>
        <w:t>96.07.13</w:t>
      </w:r>
      <w:r w:rsidR="004717EF" w:rsidRPr="00C5379C">
        <w:rPr>
          <w:rFonts w:ascii="標楷體" w:eastAsia="標楷體" w:hint="eastAsia"/>
          <w:sz w:val="22"/>
          <w:szCs w:val="22"/>
        </w:rPr>
        <w:t>本行第2屆第49次常務董事會議決議通過</w:t>
      </w:r>
    </w:p>
    <w:p w:rsidR="00C66897" w:rsidRPr="00C5379C" w:rsidRDefault="00C66897" w:rsidP="005B4446">
      <w:pPr>
        <w:spacing w:line="200" w:lineRule="exact"/>
        <w:jc w:val="both"/>
        <w:rPr>
          <w:rFonts w:ascii="標楷體" w:eastAsia="標楷體"/>
          <w:sz w:val="22"/>
          <w:szCs w:val="22"/>
        </w:rPr>
      </w:pPr>
      <w:r w:rsidRPr="00C5379C">
        <w:rPr>
          <w:rFonts w:ascii="標楷體" w:eastAsia="標楷體" w:hint="eastAsia"/>
          <w:sz w:val="22"/>
          <w:szCs w:val="22"/>
        </w:rPr>
        <w:t>96.07.</w:t>
      </w:r>
      <w:r w:rsidR="00343D11" w:rsidRPr="00C5379C">
        <w:rPr>
          <w:rFonts w:ascii="標楷體" w:eastAsia="標楷體" w:hint="eastAsia"/>
          <w:sz w:val="22"/>
          <w:szCs w:val="22"/>
        </w:rPr>
        <w:t>18</w:t>
      </w:r>
      <w:r w:rsidRPr="00C5379C">
        <w:rPr>
          <w:rFonts w:ascii="標楷體" w:eastAsia="標楷體" w:hint="eastAsia"/>
          <w:sz w:val="22"/>
          <w:szCs w:val="22"/>
        </w:rPr>
        <w:t xml:space="preserve"> 銀人字第09600</w:t>
      </w:r>
      <w:r w:rsidR="00343D11" w:rsidRPr="00C5379C">
        <w:rPr>
          <w:rFonts w:ascii="標楷體" w:eastAsia="標楷體" w:hint="eastAsia"/>
          <w:sz w:val="22"/>
          <w:szCs w:val="22"/>
        </w:rPr>
        <w:t>2505</w:t>
      </w:r>
      <w:r w:rsidR="007E3448" w:rsidRPr="00C5379C">
        <w:rPr>
          <w:rFonts w:ascii="標楷體" w:eastAsia="標楷體" w:hint="eastAsia"/>
          <w:sz w:val="22"/>
          <w:szCs w:val="22"/>
        </w:rPr>
        <w:t>3</w:t>
      </w:r>
      <w:r w:rsidR="00343D11" w:rsidRPr="00C5379C">
        <w:rPr>
          <w:rFonts w:ascii="標楷體" w:eastAsia="標楷體" w:hint="eastAsia"/>
          <w:sz w:val="22"/>
          <w:szCs w:val="22"/>
        </w:rPr>
        <w:t>1</w:t>
      </w:r>
      <w:r w:rsidRPr="00C5379C">
        <w:rPr>
          <w:rFonts w:ascii="標楷體" w:eastAsia="標楷體" w:hint="eastAsia"/>
          <w:sz w:val="22"/>
          <w:szCs w:val="22"/>
        </w:rPr>
        <w:t>號函修正</w:t>
      </w:r>
    </w:p>
    <w:p w:rsidR="005B4446" w:rsidRPr="00C5379C" w:rsidRDefault="005B4446" w:rsidP="005B4446">
      <w:pPr>
        <w:spacing w:line="200" w:lineRule="exact"/>
        <w:jc w:val="both"/>
        <w:rPr>
          <w:rFonts w:ascii="標楷體" w:eastAsia="標楷體"/>
          <w:sz w:val="22"/>
        </w:rPr>
      </w:pPr>
      <w:r w:rsidRPr="00C5379C">
        <w:rPr>
          <w:rFonts w:ascii="標楷體" w:eastAsia="標楷體" w:hint="eastAsia"/>
          <w:sz w:val="22"/>
        </w:rPr>
        <w:t>96.10.19本行第2屆第63次常務董事會通過96.10.26.銀企字第09600383991號函</w:t>
      </w:r>
    </w:p>
    <w:p w:rsidR="00147327" w:rsidRPr="00C5379C" w:rsidRDefault="005B4446" w:rsidP="005B4446">
      <w:pPr>
        <w:spacing w:line="200" w:lineRule="exact"/>
        <w:jc w:val="both"/>
        <w:rPr>
          <w:rFonts w:ascii="標楷體" w:eastAsia="標楷體"/>
          <w:sz w:val="22"/>
        </w:rPr>
      </w:pPr>
      <w:r w:rsidRPr="00C5379C">
        <w:rPr>
          <w:rFonts w:ascii="標楷體" w:eastAsia="標楷體" w:hint="eastAsia"/>
          <w:sz w:val="22"/>
        </w:rPr>
        <w:t>修正「人</w:t>
      </w:r>
      <w:r w:rsidR="00F23860" w:rsidRPr="00C5379C">
        <w:rPr>
          <w:rFonts w:ascii="標楷體" w:eastAsia="標楷體" w:hint="eastAsia"/>
          <w:sz w:val="22"/>
        </w:rPr>
        <w:t>事</w:t>
      </w:r>
      <w:r w:rsidRPr="00C5379C">
        <w:rPr>
          <w:rFonts w:ascii="標楷體" w:eastAsia="標楷體" w:hint="eastAsia"/>
          <w:sz w:val="22"/>
        </w:rPr>
        <w:t>室」為「人力資源室」</w:t>
      </w:r>
    </w:p>
    <w:p w:rsidR="009B7E6E" w:rsidRPr="00C5379C" w:rsidRDefault="009B7E6E" w:rsidP="009B7E6E">
      <w:pPr>
        <w:spacing w:line="200" w:lineRule="exact"/>
        <w:jc w:val="both"/>
        <w:rPr>
          <w:rFonts w:ascii="標楷體" w:eastAsia="標楷體"/>
          <w:sz w:val="22"/>
          <w:szCs w:val="22"/>
        </w:rPr>
      </w:pPr>
      <w:r w:rsidRPr="00C5379C">
        <w:rPr>
          <w:rFonts w:ascii="標楷體" w:eastAsia="標楷體" w:hint="eastAsia"/>
          <w:sz w:val="22"/>
          <w:szCs w:val="22"/>
        </w:rPr>
        <w:t>98.08.14本行第</w:t>
      </w:r>
      <w:r w:rsidR="00C75FED" w:rsidRPr="00C5379C">
        <w:rPr>
          <w:rFonts w:ascii="標楷體" w:eastAsia="標楷體" w:hint="eastAsia"/>
          <w:sz w:val="22"/>
          <w:szCs w:val="22"/>
        </w:rPr>
        <w:t>3</w:t>
      </w:r>
      <w:r w:rsidRPr="00C5379C">
        <w:rPr>
          <w:rFonts w:ascii="標楷體" w:eastAsia="標楷體" w:hint="eastAsia"/>
          <w:sz w:val="22"/>
          <w:szCs w:val="22"/>
        </w:rPr>
        <w:t>屆第4次常務董事會議決議通過</w:t>
      </w:r>
    </w:p>
    <w:p w:rsidR="009B7E6E" w:rsidRPr="00C5379C" w:rsidRDefault="00B9288A" w:rsidP="005B4446">
      <w:pPr>
        <w:spacing w:line="200" w:lineRule="exact"/>
        <w:jc w:val="both"/>
        <w:rPr>
          <w:rFonts w:ascii="標楷體" w:eastAsia="標楷體"/>
          <w:sz w:val="22"/>
          <w:szCs w:val="22"/>
        </w:rPr>
      </w:pPr>
      <w:r w:rsidRPr="00C5379C">
        <w:rPr>
          <w:rFonts w:ascii="標楷體" w:eastAsia="標楷體" w:hint="eastAsia"/>
          <w:sz w:val="22"/>
          <w:szCs w:val="22"/>
        </w:rPr>
        <w:t>98.08.14銀人資字第09800371781號函修正</w:t>
      </w:r>
    </w:p>
    <w:p w:rsidR="00A504D3" w:rsidRPr="00C5379C" w:rsidRDefault="00A504D3" w:rsidP="00A504D3">
      <w:pPr>
        <w:spacing w:line="200" w:lineRule="exact"/>
        <w:jc w:val="both"/>
        <w:rPr>
          <w:rFonts w:ascii="標楷體" w:eastAsia="標楷體"/>
          <w:sz w:val="22"/>
          <w:szCs w:val="22"/>
        </w:rPr>
      </w:pPr>
      <w:r w:rsidRPr="00C5379C">
        <w:rPr>
          <w:rFonts w:ascii="標楷體" w:eastAsia="標楷體" w:hint="eastAsia"/>
          <w:sz w:val="22"/>
          <w:szCs w:val="22"/>
        </w:rPr>
        <w:t>98.11.</w:t>
      </w:r>
      <w:r w:rsidR="00E71FAE" w:rsidRPr="00C5379C">
        <w:rPr>
          <w:rFonts w:ascii="標楷體" w:eastAsia="標楷體" w:hint="eastAsia"/>
          <w:sz w:val="22"/>
          <w:szCs w:val="22"/>
        </w:rPr>
        <w:t>06</w:t>
      </w:r>
      <w:r w:rsidRPr="00C5379C">
        <w:rPr>
          <w:rFonts w:ascii="標楷體" w:eastAsia="標楷體" w:hint="eastAsia"/>
          <w:sz w:val="22"/>
          <w:szCs w:val="22"/>
        </w:rPr>
        <w:t>本行第3屆第16次常務董事會通過98.11.10.銀企字第09800508901號函</w:t>
      </w:r>
    </w:p>
    <w:p w:rsidR="00A504D3" w:rsidRPr="00C5379C" w:rsidRDefault="00A504D3" w:rsidP="00A504D3">
      <w:pPr>
        <w:spacing w:line="200" w:lineRule="exact"/>
        <w:jc w:val="both"/>
        <w:rPr>
          <w:rFonts w:ascii="標楷體" w:eastAsia="標楷體"/>
          <w:sz w:val="22"/>
          <w:szCs w:val="22"/>
        </w:rPr>
      </w:pPr>
      <w:r w:rsidRPr="00C5379C">
        <w:rPr>
          <w:rFonts w:ascii="標楷體" w:eastAsia="標楷體" w:hint="eastAsia"/>
          <w:sz w:val="22"/>
          <w:szCs w:val="22"/>
        </w:rPr>
        <w:t>修正「人力資源室」為「人力資源處」</w:t>
      </w:r>
    </w:p>
    <w:p w:rsidR="004949DC" w:rsidRPr="00C5379C" w:rsidRDefault="004949DC" w:rsidP="004949DC">
      <w:pPr>
        <w:spacing w:line="200" w:lineRule="exact"/>
        <w:jc w:val="both"/>
        <w:rPr>
          <w:rFonts w:ascii="標楷體" w:eastAsia="標楷體"/>
          <w:sz w:val="22"/>
          <w:szCs w:val="22"/>
        </w:rPr>
      </w:pPr>
      <w:r w:rsidRPr="00C5379C">
        <w:rPr>
          <w:rFonts w:ascii="標楷體" w:eastAsia="標楷體" w:hint="eastAsia"/>
          <w:sz w:val="22"/>
          <w:szCs w:val="22"/>
        </w:rPr>
        <w:t>99.11.12本行第3屆第68次常務董事會議決議通過</w:t>
      </w:r>
    </w:p>
    <w:p w:rsidR="004949DC" w:rsidRPr="00C5379C" w:rsidRDefault="004949DC" w:rsidP="004949DC">
      <w:pPr>
        <w:spacing w:line="200" w:lineRule="exact"/>
        <w:jc w:val="both"/>
        <w:rPr>
          <w:rFonts w:ascii="標楷體" w:eastAsia="標楷體"/>
          <w:sz w:val="22"/>
          <w:szCs w:val="22"/>
        </w:rPr>
      </w:pPr>
      <w:r w:rsidRPr="00C5379C">
        <w:rPr>
          <w:rFonts w:ascii="標楷體" w:eastAsia="標楷體" w:hint="eastAsia"/>
          <w:sz w:val="22"/>
          <w:szCs w:val="22"/>
        </w:rPr>
        <w:t>99.11.12銀人資乙字第09900</w:t>
      </w:r>
      <w:r w:rsidR="00694FB0" w:rsidRPr="00C5379C">
        <w:rPr>
          <w:rFonts w:ascii="標楷體" w:eastAsia="標楷體" w:hint="eastAsia"/>
          <w:sz w:val="22"/>
          <w:szCs w:val="22"/>
        </w:rPr>
        <w:t>5</w:t>
      </w:r>
      <w:r w:rsidRPr="00C5379C">
        <w:rPr>
          <w:rFonts w:ascii="標楷體" w:eastAsia="標楷體" w:hint="eastAsia"/>
          <w:sz w:val="22"/>
          <w:szCs w:val="22"/>
        </w:rPr>
        <w:t>3</w:t>
      </w:r>
      <w:r w:rsidR="00694FB0" w:rsidRPr="00C5379C">
        <w:rPr>
          <w:rFonts w:ascii="標楷體" w:eastAsia="標楷體" w:hint="eastAsia"/>
          <w:sz w:val="22"/>
          <w:szCs w:val="22"/>
        </w:rPr>
        <w:t>205</w:t>
      </w:r>
      <w:r w:rsidRPr="00C5379C">
        <w:rPr>
          <w:rFonts w:ascii="標楷體" w:eastAsia="標楷體" w:hint="eastAsia"/>
          <w:sz w:val="22"/>
          <w:szCs w:val="22"/>
        </w:rPr>
        <w:t>1號函修正</w:t>
      </w:r>
    </w:p>
    <w:p w:rsidR="00FE5F99" w:rsidRDefault="00FE5F99" w:rsidP="00D415AA">
      <w:pPr>
        <w:spacing w:line="200" w:lineRule="exact"/>
        <w:jc w:val="both"/>
        <w:rPr>
          <w:rFonts w:ascii="標楷體" w:eastAsia="標楷體"/>
          <w:sz w:val="22"/>
        </w:rPr>
      </w:pPr>
      <w:r w:rsidRPr="00F11AB4">
        <w:rPr>
          <w:rFonts w:ascii="標楷體" w:eastAsia="標楷體" w:hint="eastAsia"/>
          <w:sz w:val="22"/>
        </w:rPr>
        <w:t>100.09.02本行第3屆第109次常務董事會議決議通過</w:t>
      </w:r>
    </w:p>
    <w:p w:rsidR="00D415AA" w:rsidRDefault="00D415AA" w:rsidP="00D415AA">
      <w:pPr>
        <w:spacing w:line="200" w:lineRule="exact"/>
        <w:jc w:val="both"/>
        <w:rPr>
          <w:rFonts w:ascii="標楷體" w:eastAsia="標楷體"/>
          <w:sz w:val="22"/>
          <w:szCs w:val="22"/>
        </w:rPr>
      </w:pPr>
      <w:r w:rsidRPr="00F5599D">
        <w:rPr>
          <w:rFonts w:ascii="標楷體" w:eastAsia="標楷體" w:hint="eastAsia"/>
          <w:sz w:val="22"/>
          <w:szCs w:val="22"/>
        </w:rPr>
        <w:t>100.09.02銀人資乙字第10000413331號函修正</w:t>
      </w:r>
    </w:p>
    <w:p w:rsidR="00C61DBC" w:rsidRDefault="00C61DBC" w:rsidP="00C61DBC">
      <w:pPr>
        <w:spacing w:line="200" w:lineRule="exact"/>
        <w:jc w:val="both"/>
        <w:rPr>
          <w:rFonts w:ascii="標楷體" w:eastAsia="標楷體"/>
          <w:sz w:val="22"/>
        </w:rPr>
      </w:pPr>
      <w:r w:rsidRPr="00F11AB4">
        <w:rPr>
          <w:rFonts w:ascii="標楷體" w:eastAsia="標楷體" w:hint="eastAsia"/>
          <w:sz w:val="22"/>
        </w:rPr>
        <w:t>10</w:t>
      </w:r>
      <w:r>
        <w:rPr>
          <w:rFonts w:ascii="標楷體" w:eastAsia="標楷體" w:hint="eastAsia"/>
          <w:sz w:val="22"/>
        </w:rPr>
        <w:t>1</w:t>
      </w:r>
      <w:r w:rsidRPr="00F11AB4">
        <w:rPr>
          <w:rFonts w:ascii="標楷體" w:eastAsia="標楷體" w:hint="eastAsia"/>
          <w:sz w:val="22"/>
        </w:rPr>
        <w:t>.</w:t>
      </w:r>
      <w:r>
        <w:rPr>
          <w:rFonts w:ascii="標楷體" w:eastAsia="標楷體" w:hint="eastAsia"/>
          <w:sz w:val="22"/>
        </w:rPr>
        <w:t>11</w:t>
      </w:r>
      <w:r w:rsidRPr="00F11AB4">
        <w:rPr>
          <w:rFonts w:ascii="標楷體" w:eastAsia="標楷體" w:hint="eastAsia"/>
          <w:sz w:val="22"/>
        </w:rPr>
        <w:t>.</w:t>
      </w:r>
      <w:r w:rsidR="00EF401D">
        <w:rPr>
          <w:rFonts w:ascii="標楷體" w:eastAsia="標楷體" w:hint="eastAsia"/>
          <w:sz w:val="22"/>
        </w:rPr>
        <w:t>30</w:t>
      </w:r>
      <w:r w:rsidRPr="00F11AB4">
        <w:rPr>
          <w:rFonts w:ascii="標楷體" w:eastAsia="標楷體" w:hint="eastAsia"/>
          <w:sz w:val="22"/>
        </w:rPr>
        <w:t>本行第</w:t>
      </w:r>
      <w:r>
        <w:rPr>
          <w:rFonts w:ascii="標楷體" w:eastAsia="標楷體" w:hint="eastAsia"/>
          <w:sz w:val="22"/>
        </w:rPr>
        <w:t>4</w:t>
      </w:r>
      <w:r w:rsidRPr="00F11AB4">
        <w:rPr>
          <w:rFonts w:ascii="標楷體" w:eastAsia="標楷體" w:hint="eastAsia"/>
          <w:sz w:val="22"/>
        </w:rPr>
        <w:t>屆第1</w:t>
      </w:r>
      <w:r w:rsidR="00EF401D">
        <w:rPr>
          <w:rFonts w:ascii="標楷體" w:eastAsia="標楷體" w:hint="eastAsia"/>
          <w:sz w:val="22"/>
        </w:rPr>
        <w:t>9</w:t>
      </w:r>
      <w:r w:rsidRPr="00F11AB4">
        <w:rPr>
          <w:rFonts w:ascii="標楷體" w:eastAsia="標楷體" w:hint="eastAsia"/>
          <w:sz w:val="22"/>
        </w:rPr>
        <w:t>次常務董事會議決議通過</w:t>
      </w:r>
    </w:p>
    <w:p w:rsidR="00C61DBC" w:rsidRDefault="00C61DBC" w:rsidP="00C61DBC">
      <w:pPr>
        <w:spacing w:line="200" w:lineRule="exact"/>
        <w:jc w:val="both"/>
        <w:rPr>
          <w:rFonts w:ascii="標楷體" w:eastAsia="標楷體"/>
          <w:sz w:val="22"/>
          <w:szCs w:val="22"/>
        </w:rPr>
      </w:pPr>
      <w:r w:rsidRPr="00F5599D">
        <w:rPr>
          <w:rFonts w:ascii="標楷體" w:eastAsia="標楷體" w:hint="eastAsia"/>
          <w:sz w:val="22"/>
          <w:szCs w:val="22"/>
        </w:rPr>
        <w:t>10</w:t>
      </w:r>
      <w:r>
        <w:rPr>
          <w:rFonts w:ascii="標楷體" w:eastAsia="標楷體" w:hint="eastAsia"/>
          <w:sz w:val="22"/>
          <w:szCs w:val="22"/>
        </w:rPr>
        <w:t>1</w:t>
      </w:r>
      <w:r w:rsidRPr="00F5599D">
        <w:rPr>
          <w:rFonts w:ascii="標楷體" w:eastAsia="標楷體" w:hint="eastAsia"/>
          <w:sz w:val="22"/>
          <w:szCs w:val="22"/>
        </w:rPr>
        <w:t>.</w:t>
      </w:r>
      <w:r>
        <w:rPr>
          <w:rFonts w:ascii="標楷體" w:eastAsia="標楷體" w:hint="eastAsia"/>
          <w:sz w:val="22"/>
          <w:szCs w:val="22"/>
        </w:rPr>
        <w:t>1</w:t>
      </w:r>
      <w:r w:rsidR="004876E9">
        <w:rPr>
          <w:rFonts w:ascii="標楷體" w:eastAsia="標楷體" w:hint="eastAsia"/>
          <w:sz w:val="22"/>
          <w:szCs w:val="22"/>
        </w:rPr>
        <w:t>2</w:t>
      </w:r>
      <w:r w:rsidRPr="00F5599D">
        <w:rPr>
          <w:rFonts w:ascii="標楷體" w:eastAsia="標楷體" w:hint="eastAsia"/>
          <w:sz w:val="22"/>
          <w:szCs w:val="22"/>
        </w:rPr>
        <w:t>.</w:t>
      </w:r>
      <w:r w:rsidR="008438AC">
        <w:rPr>
          <w:rFonts w:ascii="標楷體" w:eastAsia="標楷體" w:hint="eastAsia"/>
          <w:sz w:val="22"/>
          <w:szCs w:val="22"/>
        </w:rPr>
        <w:t>0</w:t>
      </w:r>
      <w:r w:rsidR="00EF401D">
        <w:rPr>
          <w:rFonts w:ascii="標楷體" w:eastAsia="標楷體" w:hint="eastAsia"/>
          <w:sz w:val="22"/>
          <w:szCs w:val="22"/>
        </w:rPr>
        <w:t>3</w:t>
      </w:r>
      <w:r w:rsidRPr="00F5599D">
        <w:rPr>
          <w:rFonts w:ascii="標楷體" w:eastAsia="標楷體" w:hint="eastAsia"/>
          <w:sz w:val="22"/>
          <w:szCs w:val="22"/>
        </w:rPr>
        <w:t>銀人資乙字第</w:t>
      </w:r>
      <w:r w:rsidR="00B53255">
        <w:rPr>
          <w:rFonts w:ascii="標楷體" w:eastAsia="標楷體" w:hint="eastAsia"/>
          <w:sz w:val="22"/>
          <w:szCs w:val="22"/>
        </w:rPr>
        <w:t>10150237431</w:t>
      </w:r>
      <w:r w:rsidRPr="00F5599D">
        <w:rPr>
          <w:rFonts w:ascii="標楷體" w:eastAsia="標楷體" w:hint="eastAsia"/>
          <w:sz w:val="22"/>
          <w:szCs w:val="22"/>
        </w:rPr>
        <w:t>號函修正</w:t>
      </w:r>
    </w:p>
    <w:p w:rsidR="00BD140F" w:rsidRDefault="00BD140F" w:rsidP="00BD140F">
      <w:pPr>
        <w:spacing w:line="200" w:lineRule="exact"/>
        <w:jc w:val="both"/>
        <w:rPr>
          <w:rFonts w:ascii="標楷體" w:eastAsia="標楷體"/>
          <w:sz w:val="22"/>
        </w:rPr>
      </w:pPr>
      <w:r w:rsidRPr="00F11AB4">
        <w:rPr>
          <w:rFonts w:ascii="標楷體" w:eastAsia="標楷體" w:hint="eastAsia"/>
          <w:sz w:val="22"/>
        </w:rPr>
        <w:t>10</w:t>
      </w:r>
      <w:r>
        <w:rPr>
          <w:rFonts w:ascii="標楷體" w:eastAsia="標楷體" w:hint="eastAsia"/>
          <w:sz w:val="22"/>
        </w:rPr>
        <w:t>2</w:t>
      </w:r>
      <w:r w:rsidRPr="00F11AB4">
        <w:rPr>
          <w:rFonts w:ascii="標楷體" w:eastAsia="標楷體" w:hint="eastAsia"/>
          <w:sz w:val="22"/>
        </w:rPr>
        <w:t>.</w:t>
      </w:r>
      <w:r>
        <w:rPr>
          <w:rFonts w:ascii="標楷體" w:eastAsia="標楷體" w:hint="eastAsia"/>
          <w:sz w:val="22"/>
        </w:rPr>
        <w:t>1</w:t>
      </w:r>
      <w:r w:rsidR="00FC2095">
        <w:rPr>
          <w:rFonts w:ascii="標楷體" w:eastAsia="標楷體" w:hint="eastAsia"/>
          <w:sz w:val="22"/>
        </w:rPr>
        <w:t>1</w:t>
      </w:r>
      <w:r w:rsidRPr="00F11AB4">
        <w:rPr>
          <w:rFonts w:ascii="標楷體" w:eastAsia="標楷體" w:hint="eastAsia"/>
          <w:sz w:val="22"/>
        </w:rPr>
        <w:t>.</w:t>
      </w:r>
      <w:r w:rsidR="00FC2095">
        <w:rPr>
          <w:rFonts w:ascii="標楷體" w:eastAsia="標楷體" w:hint="eastAsia"/>
          <w:sz w:val="22"/>
        </w:rPr>
        <w:t>01</w:t>
      </w:r>
      <w:r w:rsidRPr="00F11AB4">
        <w:rPr>
          <w:rFonts w:ascii="標楷體" w:eastAsia="標楷體" w:hint="eastAsia"/>
          <w:sz w:val="22"/>
        </w:rPr>
        <w:t>本行第</w:t>
      </w:r>
      <w:r>
        <w:rPr>
          <w:rFonts w:ascii="標楷體" w:eastAsia="標楷體" w:hint="eastAsia"/>
          <w:sz w:val="22"/>
        </w:rPr>
        <w:t>4</w:t>
      </w:r>
      <w:r w:rsidRPr="00F11AB4">
        <w:rPr>
          <w:rFonts w:ascii="標楷體" w:eastAsia="標楷體" w:hint="eastAsia"/>
          <w:sz w:val="22"/>
        </w:rPr>
        <w:t>屆第</w:t>
      </w:r>
      <w:r w:rsidR="00FC2095">
        <w:rPr>
          <w:rFonts w:ascii="標楷體" w:eastAsia="標楷體" w:hint="eastAsia"/>
          <w:sz w:val="22"/>
        </w:rPr>
        <w:t>64</w:t>
      </w:r>
      <w:r w:rsidRPr="00F11AB4">
        <w:rPr>
          <w:rFonts w:ascii="標楷體" w:eastAsia="標楷體" w:hint="eastAsia"/>
          <w:sz w:val="22"/>
        </w:rPr>
        <w:t>次常務董事會議決議通過</w:t>
      </w:r>
    </w:p>
    <w:p w:rsidR="00BD140F" w:rsidRDefault="00BD140F" w:rsidP="00BD140F">
      <w:pPr>
        <w:spacing w:line="200" w:lineRule="exact"/>
        <w:jc w:val="both"/>
        <w:rPr>
          <w:rFonts w:ascii="標楷體" w:eastAsia="標楷體"/>
          <w:sz w:val="22"/>
          <w:szCs w:val="22"/>
        </w:rPr>
      </w:pPr>
      <w:r w:rsidRPr="00F5599D">
        <w:rPr>
          <w:rFonts w:ascii="標楷體" w:eastAsia="標楷體" w:hint="eastAsia"/>
          <w:sz w:val="22"/>
          <w:szCs w:val="22"/>
        </w:rPr>
        <w:t>10</w:t>
      </w:r>
      <w:r>
        <w:rPr>
          <w:rFonts w:ascii="標楷體" w:eastAsia="標楷體" w:hint="eastAsia"/>
          <w:sz w:val="22"/>
          <w:szCs w:val="22"/>
        </w:rPr>
        <w:t>2</w:t>
      </w:r>
      <w:r w:rsidRPr="00F5599D">
        <w:rPr>
          <w:rFonts w:ascii="標楷體" w:eastAsia="標楷體" w:hint="eastAsia"/>
          <w:sz w:val="22"/>
          <w:szCs w:val="22"/>
        </w:rPr>
        <w:t>.</w:t>
      </w:r>
      <w:r>
        <w:rPr>
          <w:rFonts w:ascii="標楷體" w:eastAsia="標楷體" w:hint="eastAsia"/>
          <w:sz w:val="22"/>
          <w:szCs w:val="22"/>
        </w:rPr>
        <w:t>1</w:t>
      </w:r>
      <w:r w:rsidR="00FC2095">
        <w:rPr>
          <w:rFonts w:ascii="標楷體" w:eastAsia="標楷體" w:hint="eastAsia"/>
          <w:sz w:val="22"/>
          <w:szCs w:val="22"/>
        </w:rPr>
        <w:t>1</w:t>
      </w:r>
      <w:r w:rsidRPr="00F5599D">
        <w:rPr>
          <w:rFonts w:ascii="標楷體" w:eastAsia="標楷體" w:hint="eastAsia"/>
          <w:sz w:val="22"/>
          <w:szCs w:val="22"/>
        </w:rPr>
        <w:t>.</w:t>
      </w:r>
      <w:r>
        <w:rPr>
          <w:rFonts w:ascii="標楷體" w:eastAsia="標楷體" w:hint="eastAsia"/>
          <w:sz w:val="22"/>
          <w:szCs w:val="22"/>
        </w:rPr>
        <w:t>0</w:t>
      </w:r>
      <w:r w:rsidR="00705C50">
        <w:rPr>
          <w:rFonts w:ascii="標楷體" w:eastAsia="標楷體" w:hint="eastAsia"/>
          <w:sz w:val="22"/>
          <w:szCs w:val="22"/>
        </w:rPr>
        <w:t>4</w:t>
      </w:r>
      <w:r w:rsidRPr="00F5599D">
        <w:rPr>
          <w:rFonts w:ascii="標楷體" w:eastAsia="標楷體" w:hint="eastAsia"/>
          <w:sz w:val="22"/>
          <w:szCs w:val="22"/>
        </w:rPr>
        <w:t>銀人資乙字第</w:t>
      </w:r>
      <w:r w:rsidR="00FC2095">
        <w:rPr>
          <w:rFonts w:ascii="標楷體" w:eastAsia="標楷體" w:hint="eastAsia"/>
          <w:sz w:val="22"/>
          <w:szCs w:val="22"/>
        </w:rPr>
        <w:t>10200039341</w:t>
      </w:r>
      <w:r w:rsidRPr="00F5599D">
        <w:rPr>
          <w:rFonts w:ascii="標楷體" w:eastAsia="標楷體" w:hint="eastAsia"/>
          <w:sz w:val="22"/>
          <w:szCs w:val="22"/>
        </w:rPr>
        <w:t>號函修正</w:t>
      </w:r>
    </w:p>
    <w:p w:rsidR="0044710C" w:rsidRDefault="0044710C" w:rsidP="00BD140F">
      <w:pPr>
        <w:spacing w:line="200" w:lineRule="exact"/>
        <w:jc w:val="both"/>
        <w:rPr>
          <w:rFonts w:ascii="標楷體" w:eastAsia="標楷體"/>
          <w:sz w:val="22"/>
        </w:rPr>
      </w:pPr>
      <w:r>
        <w:rPr>
          <w:rFonts w:ascii="標楷體" w:eastAsia="標楷體" w:hint="eastAsia"/>
          <w:sz w:val="22"/>
          <w:szCs w:val="22"/>
        </w:rPr>
        <w:t>103.02.27本行第4屆第80次</w:t>
      </w:r>
      <w:r w:rsidRPr="00F11AB4">
        <w:rPr>
          <w:rFonts w:ascii="標楷體" w:eastAsia="標楷體" w:hint="eastAsia"/>
          <w:sz w:val="22"/>
        </w:rPr>
        <w:t>常務董事會議決議通過</w:t>
      </w:r>
    </w:p>
    <w:p w:rsidR="0044710C" w:rsidRDefault="0044710C" w:rsidP="0044710C">
      <w:pPr>
        <w:spacing w:line="200" w:lineRule="exact"/>
        <w:jc w:val="both"/>
        <w:rPr>
          <w:rFonts w:ascii="標楷體" w:eastAsia="標楷體"/>
          <w:sz w:val="22"/>
          <w:szCs w:val="22"/>
        </w:rPr>
      </w:pPr>
      <w:r w:rsidRPr="00F5599D">
        <w:rPr>
          <w:rFonts w:ascii="標楷體" w:eastAsia="標楷體" w:hint="eastAsia"/>
          <w:sz w:val="22"/>
          <w:szCs w:val="22"/>
        </w:rPr>
        <w:t>10</w:t>
      </w:r>
      <w:r>
        <w:rPr>
          <w:rFonts w:ascii="標楷體" w:eastAsia="標楷體" w:hint="eastAsia"/>
          <w:sz w:val="22"/>
          <w:szCs w:val="22"/>
        </w:rPr>
        <w:t>3</w:t>
      </w:r>
      <w:r w:rsidRPr="00F5599D">
        <w:rPr>
          <w:rFonts w:ascii="標楷體" w:eastAsia="標楷體" w:hint="eastAsia"/>
          <w:sz w:val="22"/>
          <w:szCs w:val="22"/>
        </w:rPr>
        <w:t>.</w:t>
      </w:r>
      <w:r>
        <w:rPr>
          <w:rFonts w:ascii="標楷體" w:eastAsia="標楷體" w:hint="eastAsia"/>
          <w:sz w:val="22"/>
          <w:szCs w:val="22"/>
        </w:rPr>
        <w:t>03</w:t>
      </w:r>
      <w:r w:rsidRPr="00F5599D">
        <w:rPr>
          <w:rFonts w:ascii="標楷體" w:eastAsia="標楷體" w:hint="eastAsia"/>
          <w:sz w:val="22"/>
          <w:szCs w:val="22"/>
        </w:rPr>
        <w:t>.</w:t>
      </w:r>
      <w:r>
        <w:rPr>
          <w:rFonts w:ascii="標楷體" w:eastAsia="標楷體" w:hint="eastAsia"/>
          <w:sz w:val="22"/>
          <w:szCs w:val="22"/>
        </w:rPr>
        <w:t>0</w:t>
      </w:r>
      <w:r w:rsidR="00FE7C79">
        <w:rPr>
          <w:rFonts w:ascii="標楷體" w:eastAsia="標楷體" w:hint="eastAsia"/>
          <w:sz w:val="22"/>
          <w:szCs w:val="22"/>
        </w:rPr>
        <w:t>5</w:t>
      </w:r>
      <w:r w:rsidRPr="00F5599D">
        <w:rPr>
          <w:rFonts w:ascii="標楷體" w:eastAsia="標楷體" w:hint="eastAsia"/>
          <w:sz w:val="22"/>
          <w:szCs w:val="22"/>
        </w:rPr>
        <w:t>銀人資乙字第</w:t>
      </w:r>
      <w:r>
        <w:rPr>
          <w:rFonts w:ascii="標楷體" w:eastAsia="標楷體" w:hint="eastAsia"/>
          <w:sz w:val="22"/>
          <w:szCs w:val="22"/>
        </w:rPr>
        <w:t>103000</w:t>
      </w:r>
      <w:r w:rsidR="00FE7C79">
        <w:rPr>
          <w:rFonts w:ascii="標楷體" w:eastAsia="標楷體" w:hint="eastAsia"/>
          <w:sz w:val="22"/>
          <w:szCs w:val="22"/>
        </w:rPr>
        <w:t>1</w:t>
      </w:r>
      <w:r>
        <w:rPr>
          <w:rFonts w:ascii="標楷體" w:eastAsia="標楷體" w:hint="eastAsia"/>
          <w:sz w:val="22"/>
          <w:szCs w:val="22"/>
        </w:rPr>
        <w:t>1</w:t>
      </w:r>
      <w:r w:rsidR="00FE7C79">
        <w:rPr>
          <w:rFonts w:ascii="標楷體" w:eastAsia="標楷體" w:hint="eastAsia"/>
          <w:sz w:val="22"/>
          <w:szCs w:val="22"/>
        </w:rPr>
        <w:t>391</w:t>
      </w:r>
      <w:r w:rsidRPr="00F5599D">
        <w:rPr>
          <w:rFonts w:ascii="標楷體" w:eastAsia="標楷體" w:hint="eastAsia"/>
          <w:sz w:val="22"/>
          <w:szCs w:val="22"/>
        </w:rPr>
        <w:t>號函修正</w:t>
      </w:r>
    </w:p>
    <w:p w:rsidR="00577D74" w:rsidRPr="00A37FF2" w:rsidRDefault="00577D74" w:rsidP="00577D74">
      <w:pPr>
        <w:spacing w:line="200" w:lineRule="exact"/>
        <w:jc w:val="both"/>
        <w:rPr>
          <w:rFonts w:ascii="標楷體" w:eastAsia="標楷體"/>
          <w:sz w:val="22"/>
          <w:szCs w:val="22"/>
        </w:rPr>
      </w:pPr>
      <w:r w:rsidRPr="00A37FF2">
        <w:rPr>
          <w:rFonts w:ascii="標楷體" w:eastAsia="標楷體" w:hint="eastAsia"/>
          <w:sz w:val="22"/>
          <w:szCs w:val="22"/>
        </w:rPr>
        <w:t>104.</w:t>
      </w:r>
      <w:r>
        <w:rPr>
          <w:rFonts w:ascii="標楷體" w:eastAsia="標楷體" w:hint="eastAsia"/>
          <w:sz w:val="22"/>
          <w:szCs w:val="22"/>
        </w:rPr>
        <w:t>11</w:t>
      </w:r>
      <w:r w:rsidRPr="00A37FF2">
        <w:rPr>
          <w:rFonts w:ascii="標楷體" w:eastAsia="標楷體" w:hint="eastAsia"/>
          <w:sz w:val="22"/>
          <w:szCs w:val="22"/>
        </w:rPr>
        <w:t>.</w:t>
      </w:r>
      <w:r>
        <w:rPr>
          <w:rFonts w:ascii="標楷體" w:eastAsia="標楷體" w:hint="eastAsia"/>
          <w:sz w:val="22"/>
          <w:szCs w:val="22"/>
        </w:rPr>
        <w:t>12</w:t>
      </w:r>
      <w:r w:rsidRPr="00A37FF2">
        <w:rPr>
          <w:rFonts w:ascii="標楷體" w:eastAsia="標楷體" w:hint="eastAsia"/>
          <w:sz w:val="22"/>
          <w:szCs w:val="22"/>
        </w:rPr>
        <w:t>本行第</w:t>
      </w:r>
      <w:r>
        <w:rPr>
          <w:rFonts w:ascii="標楷體" w:eastAsia="標楷體" w:hint="eastAsia"/>
          <w:sz w:val="22"/>
          <w:szCs w:val="22"/>
        </w:rPr>
        <w:t>5</w:t>
      </w:r>
      <w:r w:rsidRPr="00A37FF2">
        <w:rPr>
          <w:rFonts w:ascii="標楷體" w:eastAsia="標楷體" w:hint="eastAsia"/>
          <w:sz w:val="22"/>
          <w:szCs w:val="22"/>
        </w:rPr>
        <w:t>屆第</w:t>
      </w:r>
      <w:r>
        <w:rPr>
          <w:rFonts w:ascii="標楷體" w:eastAsia="標楷體" w:hint="eastAsia"/>
          <w:sz w:val="22"/>
          <w:szCs w:val="22"/>
        </w:rPr>
        <w:t>17</w:t>
      </w:r>
      <w:r w:rsidRPr="00A37FF2">
        <w:rPr>
          <w:rFonts w:ascii="標楷體" w:eastAsia="標楷體" w:hint="eastAsia"/>
          <w:sz w:val="22"/>
          <w:szCs w:val="22"/>
        </w:rPr>
        <w:t>次常務董事會議決議通過</w:t>
      </w:r>
    </w:p>
    <w:p w:rsidR="00577D74" w:rsidRPr="00A37FF2" w:rsidRDefault="00577D74" w:rsidP="00577D74">
      <w:pPr>
        <w:spacing w:line="200" w:lineRule="exact"/>
        <w:jc w:val="both"/>
        <w:rPr>
          <w:rFonts w:ascii="標楷體" w:eastAsia="標楷體"/>
          <w:sz w:val="22"/>
          <w:szCs w:val="22"/>
        </w:rPr>
      </w:pPr>
      <w:r w:rsidRPr="00A37FF2">
        <w:rPr>
          <w:rFonts w:ascii="標楷體" w:eastAsia="標楷體" w:hint="eastAsia"/>
          <w:sz w:val="22"/>
          <w:szCs w:val="22"/>
        </w:rPr>
        <w:t>104.</w:t>
      </w:r>
      <w:r>
        <w:rPr>
          <w:rFonts w:ascii="標楷體" w:eastAsia="標楷體" w:hint="eastAsia"/>
          <w:sz w:val="22"/>
          <w:szCs w:val="22"/>
        </w:rPr>
        <w:t>11</w:t>
      </w:r>
      <w:r w:rsidRPr="00A37FF2">
        <w:rPr>
          <w:rFonts w:ascii="標楷體" w:eastAsia="標楷體" w:hint="eastAsia"/>
          <w:sz w:val="22"/>
          <w:szCs w:val="22"/>
        </w:rPr>
        <w:t>.</w:t>
      </w:r>
      <w:r>
        <w:rPr>
          <w:rFonts w:ascii="標楷體" w:eastAsia="標楷體" w:hint="eastAsia"/>
          <w:sz w:val="22"/>
          <w:szCs w:val="22"/>
        </w:rPr>
        <w:t>12</w:t>
      </w:r>
      <w:r w:rsidRPr="00A37FF2">
        <w:rPr>
          <w:rFonts w:ascii="標楷體" w:eastAsia="標楷體" w:hint="eastAsia"/>
          <w:sz w:val="22"/>
          <w:szCs w:val="22"/>
        </w:rPr>
        <w:t>銀人資乙字第</w:t>
      </w:r>
      <w:r>
        <w:rPr>
          <w:rFonts w:ascii="標楷體" w:eastAsia="標楷體" w:hint="eastAsia"/>
          <w:sz w:val="22"/>
          <w:szCs w:val="22"/>
        </w:rPr>
        <w:t>10400048001</w:t>
      </w:r>
      <w:r w:rsidRPr="00A37FF2">
        <w:rPr>
          <w:rFonts w:ascii="標楷體" w:eastAsia="標楷體" w:hint="eastAsia"/>
          <w:sz w:val="22"/>
          <w:szCs w:val="22"/>
        </w:rPr>
        <w:t>號函修正</w:t>
      </w:r>
    </w:p>
    <w:p w:rsidR="00577D74" w:rsidRDefault="00577D74" w:rsidP="0044710C">
      <w:pPr>
        <w:spacing w:line="200" w:lineRule="exact"/>
        <w:jc w:val="both"/>
        <w:rPr>
          <w:rFonts w:ascii="標楷體" w:eastAsia="標楷體"/>
          <w:sz w:val="22"/>
          <w:szCs w:val="22"/>
        </w:rPr>
      </w:pPr>
    </w:p>
    <w:p w:rsidR="0044710C" w:rsidRDefault="0044710C" w:rsidP="00BD140F">
      <w:pPr>
        <w:spacing w:line="200" w:lineRule="exact"/>
        <w:jc w:val="both"/>
        <w:rPr>
          <w:rFonts w:ascii="標楷體" w:eastAsia="標楷體"/>
          <w:sz w:val="22"/>
          <w:szCs w:val="22"/>
        </w:rPr>
      </w:pPr>
    </w:p>
    <w:p w:rsidR="00147327" w:rsidRDefault="00B566A9" w:rsidP="006D08B6">
      <w:pPr>
        <w:pStyle w:val="a9"/>
        <w:adjustRightInd w:val="0"/>
        <w:snapToGrid w:val="0"/>
        <w:spacing w:line="480" w:lineRule="exact"/>
        <w:ind w:leftChars="0" w:left="1280" w:hangingChars="400" w:hanging="1280"/>
      </w:pPr>
      <w:r>
        <w:rPr>
          <w:rFonts w:hint="eastAsia"/>
        </w:rPr>
        <w:t>第一條</w:t>
      </w:r>
      <w:r w:rsidR="006552E7">
        <w:rPr>
          <w:rFonts w:hint="eastAsia"/>
        </w:rPr>
        <w:t xml:space="preserve">  </w:t>
      </w:r>
      <w:r w:rsidR="00147327">
        <w:rPr>
          <w:rFonts w:hint="eastAsia"/>
        </w:rPr>
        <w:t>臺灣銀行</w:t>
      </w:r>
      <w:r w:rsidR="00A244FE" w:rsidRPr="00A244FE">
        <w:rPr>
          <w:rFonts w:hint="eastAsia"/>
          <w:szCs w:val="32"/>
        </w:rPr>
        <w:t>股份有限公司</w:t>
      </w:r>
      <w:r w:rsidR="00147327">
        <w:rPr>
          <w:rFonts w:hint="eastAsia"/>
        </w:rPr>
        <w:t>（以下簡稱本行）為建立客觀、</w:t>
      </w:r>
      <w:r w:rsidR="00147327" w:rsidRPr="00A244FE">
        <w:rPr>
          <w:rFonts w:hint="eastAsia"/>
          <w:spacing w:val="-4"/>
          <w:szCs w:val="32"/>
        </w:rPr>
        <w:t>公正合理之升遷制度，擇優升等或遷調，以拔擢及培育人</w:t>
      </w:r>
      <w:r w:rsidR="00147327">
        <w:rPr>
          <w:rFonts w:hint="eastAsia"/>
        </w:rPr>
        <w:t>才，配合業務需要，特訂定本辦法。</w:t>
      </w:r>
    </w:p>
    <w:p w:rsidR="00147327" w:rsidRDefault="00B566A9" w:rsidP="006D08B6">
      <w:pPr>
        <w:pStyle w:val="a9"/>
        <w:adjustRightInd w:val="0"/>
        <w:snapToGrid w:val="0"/>
        <w:spacing w:line="480" w:lineRule="exact"/>
        <w:ind w:leftChars="-8" w:left="1261" w:hangingChars="400" w:hanging="1280"/>
      </w:pPr>
      <w:r>
        <w:rPr>
          <w:rFonts w:hint="eastAsia"/>
        </w:rPr>
        <w:t>第二條</w:t>
      </w:r>
      <w:r w:rsidR="006552E7">
        <w:rPr>
          <w:rFonts w:hint="eastAsia"/>
        </w:rPr>
        <w:t xml:space="preserve">  </w:t>
      </w:r>
      <w:r w:rsidR="00147327">
        <w:rPr>
          <w:rFonts w:hint="eastAsia"/>
        </w:rPr>
        <w:t>本行行員之晉升，除應配合業務需要外，並應以品德操守、專業技能、學經歷及工作績效為主要考量因素。升任主管、副主管職務者，並應具備領導統御特質、協調溝通能力及發展潛能。</w:t>
      </w:r>
    </w:p>
    <w:p w:rsidR="0092607C" w:rsidRPr="0092607C" w:rsidRDefault="00147327" w:rsidP="006D08B6">
      <w:pPr>
        <w:adjustRightInd w:val="0"/>
        <w:snapToGrid w:val="0"/>
        <w:spacing w:line="480" w:lineRule="exact"/>
        <w:ind w:left="1280" w:hangingChars="400" w:hanging="1280"/>
        <w:jc w:val="both"/>
        <w:rPr>
          <w:rFonts w:ascii="標楷體" w:eastAsia="標楷體" w:hAnsi="標楷體"/>
          <w:sz w:val="32"/>
          <w:szCs w:val="32"/>
        </w:rPr>
      </w:pPr>
      <w:r>
        <w:rPr>
          <w:rFonts w:ascii="標楷體" w:eastAsia="標楷體" w:hint="eastAsia"/>
          <w:sz w:val="32"/>
        </w:rPr>
        <w:t xml:space="preserve">第三條  </w:t>
      </w:r>
      <w:r w:rsidR="0092607C" w:rsidRPr="0092607C">
        <w:rPr>
          <w:rFonts w:ascii="標楷體" w:eastAsia="標楷體" w:hAnsi="標楷體" w:hint="eastAsia"/>
          <w:sz w:val="32"/>
          <w:szCs w:val="32"/>
        </w:rPr>
        <w:t>本行各職等職務出缺，除平調遞補外，應循序由次一職等優秀行員遴選升任，晉升之行員除工員另有規定外，應具備下列基本條件：</w:t>
      </w:r>
    </w:p>
    <w:p w:rsidR="0092607C" w:rsidRPr="0092607C" w:rsidRDefault="0092607C" w:rsidP="006D08B6">
      <w:pPr>
        <w:adjustRightInd w:val="0"/>
        <w:snapToGrid w:val="0"/>
        <w:spacing w:line="480" w:lineRule="exact"/>
        <w:ind w:firstLineChars="350" w:firstLine="1120"/>
        <w:jc w:val="both"/>
        <w:rPr>
          <w:rFonts w:ascii="標楷體" w:eastAsia="標楷體" w:hAnsi="標楷體"/>
          <w:sz w:val="32"/>
          <w:szCs w:val="32"/>
        </w:rPr>
      </w:pPr>
      <w:r w:rsidRPr="0092607C">
        <w:rPr>
          <w:rFonts w:ascii="標楷體" w:eastAsia="標楷體" w:hAnsi="標楷體" w:hint="eastAsia"/>
          <w:sz w:val="32"/>
          <w:szCs w:val="32"/>
        </w:rPr>
        <w:t>一、年資：</w:t>
      </w:r>
    </w:p>
    <w:p w:rsidR="0092607C" w:rsidRPr="0092607C" w:rsidRDefault="0092607C" w:rsidP="006D08B6">
      <w:pPr>
        <w:adjustRightInd w:val="0"/>
        <w:snapToGrid w:val="0"/>
        <w:spacing w:line="480" w:lineRule="exact"/>
        <w:ind w:leftChars="733" w:left="1759"/>
        <w:jc w:val="both"/>
        <w:rPr>
          <w:rFonts w:ascii="標楷體" w:eastAsia="標楷體" w:hAnsi="標楷體"/>
          <w:sz w:val="32"/>
          <w:szCs w:val="32"/>
        </w:rPr>
      </w:pPr>
      <w:r w:rsidRPr="0092607C">
        <w:rPr>
          <w:rFonts w:ascii="標楷體" w:eastAsia="標楷體" w:hAnsi="標楷體" w:hint="eastAsia"/>
          <w:sz w:val="32"/>
          <w:szCs w:val="32"/>
        </w:rPr>
        <w:t>除升六、七</w:t>
      </w:r>
      <w:r w:rsidR="00A72AA7">
        <w:rPr>
          <w:rFonts w:ascii="標楷體" w:eastAsia="標楷體" w:hAnsi="標楷體" w:hint="eastAsia"/>
          <w:sz w:val="32"/>
          <w:szCs w:val="32"/>
        </w:rPr>
        <w:t>、八</w:t>
      </w:r>
      <w:r w:rsidRPr="0092607C">
        <w:rPr>
          <w:rFonts w:ascii="標楷體" w:eastAsia="標楷體" w:hAnsi="標楷體" w:hint="eastAsia"/>
          <w:sz w:val="32"/>
          <w:szCs w:val="32"/>
        </w:rPr>
        <w:t>及十職等須分別任五、六</w:t>
      </w:r>
      <w:r w:rsidR="00A72AA7" w:rsidRPr="0092607C">
        <w:rPr>
          <w:rFonts w:ascii="標楷體" w:eastAsia="標楷體" w:hAnsi="標楷體" w:hint="eastAsia"/>
          <w:sz w:val="32"/>
          <w:szCs w:val="32"/>
        </w:rPr>
        <w:t>、七</w:t>
      </w:r>
      <w:r w:rsidRPr="0092607C">
        <w:rPr>
          <w:rFonts w:ascii="標楷體" w:eastAsia="標楷體" w:hAnsi="標楷體" w:hint="eastAsia"/>
          <w:sz w:val="32"/>
          <w:szCs w:val="32"/>
        </w:rPr>
        <w:t>及九職等職務滿二年以上外，其他各職等須任次一職等職務滿三年以上。</w:t>
      </w:r>
    </w:p>
    <w:p w:rsidR="00976BEC" w:rsidRDefault="0092607C" w:rsidP="006D08B6">
      <w:pPr>
        <w:adjustRightInd w:val="0"/>
        <w:snapToGrid w:val="0"/>
        <w:spacing w:line="480" w:lineRule="exact"/>
        <w:ind w:firstLineChars="358" w:firstLine="1146"/>
        <w:jc w:val="both"/>
        <w:rPr>
          <w:rFonts w:ascii="標楷體" w:eastAsia="標楷體" w:hAnsi="標楷體"/>
          <w:sz w:val="32"/>
          <w:szCs w:val="32"/>
        </w:rPr>
      </w:pPr>
      <w:r w:rsidRPr="0092607C">
        <w:rPr>
          <w:rFonts w:ascii="標楷體" w:eastAsia="標楷體" w:hAnsi="標楷體" w:hint="eastAsia"/>
          <w:sz w:val="32"/>
          <w:szCs w:val="32"/>
        </w:rPr>
        <w:t>二、年終考核及獎懲：</w:t>
      </w:r>
    </w:p>
    <w:p w:rsidR="0092607C" w:rsidRDefault="00976BEC" w:rsidP="006D08B6">
      <w:pPr>
        <w:adjustRightInd w:val="0"/>
        <w:snapToGrid w:val="0"/>
        <w:spacing w:line="480" w:lineRule="exact"/>
        <w:ind w:leftChars="477" w:left="1785" w:hangingChars="200" w:hanging="640"/>
        <w:jc w:val="both"/>
        <w:rPr>
          <w:rFonts w:ascii="標楷體" w:eastAsia="標楷體" w:hAnsi="標楷體"/>
          <w:sz w:val="32"/>
          <w:szCs w:val="32"/>
        </w:rPr>
      </w:pPr>
      <w:r w:rsidRPr="00976BEC">
        <w:rPr>
          <w:rFonts w:ascii="標楷體" w:eastAsia="標楷體" w:hAnsi="標楷體" w:hint="eastAsia"/>
          <w:sz w:val="32"/>
          <w:szCs w:val="32"/>
        </w:rPr>
        <w:t>(一)</w:t>
      </w:r>
      <w:r w:rsidR="0092607C" w:rsidRPr="0092607C">
        <w:rPr>
          <w:rFonts w:ascii="標楷體" w:eastAsia="標楷體" w:hAnsi="標楷體" w:hint="eastAsia"/>
          <w:sz w:val="32"/>
          <w:szCs w:val="32"/>
        </w:rPr>
        <w:t>最近三年之年度考核須一年考列甲等，二年考列乙等</w:t>
      </w:r>
      <w:r w:rsidR="0092607C" w:rsidRPr="0092607C">
        <w:rPr>
          <w:rFonts w:ascii="標楷體" w:eastAsia="標楷體" w:hAnsi="標楷體" w:hint="eastAsia"/>
          <w:sz w:val="32"/>
          <w:szCs w:val="32"/>
        </w:rPr>
        <w:lastRenderedPageBreak/>
        <w:t>以上；五、六</w:t>
      </w:r>
      <w:r w:rsidR="00A72AA7" w:rsidRPr="0092607C">
        <w:rPr>
          <w:rFonts w:ascii="標楷體" w:eastAsia="標楷體" w:hAnsi="標楷體" w:hint="eastAsia"/>
          <w:sz w:val="32"/>
          <w:szCs w:val="32"/>
        </w:rPr>
        <w:t>、七</w:t>
      </w:r>
      <w:r w:rsidR="0092607C" w:rsidRPr="0092607C">
        <w:rPr>
          <w:rFonts w:ascii="標楷體" w:eastAsia="標楷體" w:hAnsi="標楷體" w:hint="eastAsia"/>
          <w:sz w:val="32"/>
          <w:szCs w:val="32"/>
        </w:rPr>
        <w:t>職等升六、七</w:t>
      </w:r>
      <w:r w:rsidR="00A72AA7">
        <w:rPr>
          <w:rFonts w:ascii="標楷體" w:eastAsia="標楷體" w:hAnsi="標楷體" w:hint="eastAsia"/>
          <w:sz w:val="32"/>
          <w:szCs w:val="32"/>
        </w:rPr>
        <w:t>、八</w:t>
      </w:r>
      <w:r w:rsidR="0092607C" w:rsidRPr="0092607C">
        <w:rPr>
          <w:rFonts w:ascii="標楷體" w:eastAsia="標楷體" w:hAnsi="標楷體" w:hint="eastAsia"/>
          <w:sz w:val="32"/>
          <w:szCs w:val="32"/>
        </w:rPr>
        <w:t>職等人員，最近二年之年度考核須一年考列甲等，一年考列乙等以上；九職等升十職等之年度考核不滿三年者，須最近二年度之年終考核均考列甲等。</w:t>
      </w:r>
    </w:p>
    <w:p w:rsidR="00EF5C36" w:rsidRDefault="00976BEC" w:rsidP="006D08B6">
      <w:pPr>
        <w:adjustRightInd w:val="0"/>
        <w:snapToGrid w:val="0"/>
        <w:spacing w:line="480" w:lineRule="exact"/>
        <w:ind w:leftChars="477" w:left="1785" w:hangingChars="200" w:hanging="640"/>
        <w:jc w:val="both"/>
        <w:rPr>
          <w:rFonts w:ascii="標楷體" w:eastAsia="標楷體" w:hAnsi="標楷體"/>
          <w:sz w:val="32"/>
          <w:szCs w:val="32"/>
        </w:rPr>
      </w:pPr>
      <w:r w:rsidRPr="00976BEC">
        <w:rPr>
          <w:rFonts w:ascii="標楷體" w:eastAsia="標楷體" w:hAnsi="標楷體" w:hint="eastAsia"/>
          <w:sz w:val="32"/>
          <w:szCs w:val="32"/>
        </w:rPr>
        <w:t>(二)最近三年未受公務員懲戒處分者。</w:t>
      </w:r>
    </w:p>
    <w:p w:rsidR="00976BEC" w:rsidRDefault="00976BEC" w:rsidP="006D08B6">
      <w:pPr>
        <w:adjustRightInd w:val="0"/>
        <w:snapToGrid w:val="0"/>
        <w:spacing w:line="480" w:lineRule="exact"/>
        <w:ind w:leftChars="477" w:left="1785" w:hangingChars="200" w:hanging="640"/>
        <w:jc w:val="both"/>
        <w:rPr>
          <w:rFonts w:ascii="標楷體" w:eastAsia="標楷體" w:hAnsi="標楷體"/>
          <w:sz w:val="32"/>
          <w:szCs w:val="32"/>
        </w:rPr>
      </w:pPr>
      <w:r w:rsidRPr="00976BEC">
        <w:rPr>
          <w:rFonts w:ascii="標楷體" w:eastAsia="標楷體" w:hAnsi="標楷體" w:hint="eastAsia"/>
          <w:sz w:val="32"/>
          <w:szCs w:val="32"/>
        </w:rPr>
        <w:t>(</w:t>
      </w:r>
      <w:r>
        <w:rPr>
          <w:rFonts w:ascii="標楷體" w:eastAsia="標楷體" w:hAnsi="標楷體" w:hint="eastAsia"/>
          <w:sz w:val="32"/>
          <w:szCs w:val="32"/>
        </w:rPr>
        <w:t>三</w:t>
      </w:r>
      <w:r w:rsidRPr="00976BEC">
        <w:rPr>
          <w:rFonts w:ascii="標楷體" w:eastAsia="標楷體" w:hAnsi="標楷體" w:hint="eastAsia"/>
          <w:sz w:val="32"/>
          <w:szCs w:val="32"/>
        </w:rPr>
        <w:t>)最近一年內功過相抵後，未達本行行政處分累計記過乙次以上者；五、六職等升六、七職等人員，最近二年每年功過相抵後，未達本行行政處分累計記過乙次以上者。</w:t>
      </w:r>
    </w:p>
    <w:p w:rsidR="00DC3170" w:rsidRPr="00577D74" w:rsidRDefault="0006729C" w:rsidP="00DC3170">
      <w:pPr>
        <w:pStyle w:val="aa"/>
        <w:adjustRightInd w:val="0"/>
        <w:snapToGrid w:val="0"/>
        <w:spacing w:line="480" w:lineRule="exact"/>
        <w:ind w:leftChars="466" w:left="1758" w:hangingChars="200" w:hanging="640"/>
        <w:rPr>
          <w:rFonts w:ascii="標楷體" w:hAnsi="標楷體"/>
          <w:szCs w:val="32"/>
        </w:rPr>
      </w:pPr>
      <w:r w:rsidRPr="00577D74">
        <w:rPr>
          <w:rFonts w:ascii="標楷體" w:hAnsi="標楷體" w:hint="eastAsia"/>
          <w:szCs w:val="32"/>
        </w:rPr>
        <w:t>三</w:t>
      </w:r>
      <w:r w:rsidR="00DC3170" w:rsidRPr="00577D74">
        <w:rPr>
          <w:rFonts w:ascii="標楷體" w:hAnsi="標楷體" w:hint="eastAsia"/>
          <w:szCs w:val="32"/>
        </w:rPr>
        <w:t>、升任九職等以上人員除晉升正、副主管職務者外，應</w:t>
      </w:r>
      <w:r w:rsidR="007605D9" w:rsidRPr="00577D74">
        <w:rPr>
          <w:rFonts w:ascii="標楷體" w:hAnsi="標楷體" w:hint="eastAsia"/>
          <w:szCs w:val="32"/>
        </w:rPr>
        <w:t>依「金融控股公司及銀行業內部控制及稽核制度實施辦法」規定，取得主管機關認定機構舉辦之銀行內部控制與內部稽核測驗考試合格證書</w:t>
      </w:r>
      <w:r w:rsidR="00DC3170" w:rsidRPr="00577D74">
        <w:rPr>
          <w:rFonts w:ascii="標楷體" w:hAnsi="標楷體" w:hint="eastAsia"/>
          <w:szCs w:val="32"/>
        </w:rPr>
        <w:t>。</w:t>
      </w:r>
    </w:p>
    <w:p w:rsidR="0092607C" w:rsidRPr="00A72AA7" w:rsidRDefault="0006729C" w:rsidP="006D08B6">
      <w:pPr>
        <w:pStyle w:val="aa"/>
        <w:adjustRightInd w:val="0"/>
        <w:snapToGrid w:val="0"/>
        <w:spacing w:line="480" w:lineRule="exact"/>
        <w:ind w:leftChars="466" w:left="1758" w:hangingChars="200" w:hanging="640"/>
        <w:rPr>
          <w:rFonts w:ascii="標楷體" w:hAnsi="標楷體"/>
          <w:szCs w:val="32"/>
        </w:rPr>
      </w:pPr>
      <w:r w:rsidRPr="00577D74">
        <w:rPr>
          <w:rFonts w:ascii="標楷體" w:hAnsi="標楷體" w:hint="eastAsia"/>
          <w:szCs w:val="32"/>
        </w:rPr>
        <w:t>四</w:t>
      </w:r>
      <w:r w:rsidR="0092607C" w:rsidRPr="00577D74">
        <w:rPr>
          <w:rFonts w:ascii="標楷體" w:hAnsi="標楷體" w:hint="eastAsia"/>
          <w:szCs w:val="32"/>
        </w:rPr>
        <w:t>、育嬰留職停薪人員復職後，於辦理升遷評分時，</w:t>
      </w:r>
      <w:r w:rsidR="00A72AA7" w:rsidRPr="00577D74">
        <w:rPr>
          <w:rFonts w:ascii="標楷體" w:hAnsi="標楷體" w:hint="eastAsia"/>
          <w:szCs w:val="32"/>
        </w:rPr>
        <w:t>仍須符合上述第一款</w:t>
      </w:r>
      <w:r w:rsidR="00D76916" w:rsidRPr="00577D74">
        <w:rPr>
          <w:rFonts w:ascii="標楷體" w:hAnsi="標楷體" w:hint="eastAsia"/>
          <w:szCs w:val="32"/>
        </w:rPr>
        <w:t>、</w:t>
      </w:r>
      <w:r w:rsidR="00A72AA7" w:rsidRPr="00577D74">
        <w:rPr>
          <w:rFonts w:ascii="標楷體" w:hAnsi="標楷體" w:hint="eastAsia"/>
          <w:szCs w:val="32"/>
        </w:rPr>
        <w:t>第二款</w:t>
      </w:r>
      <w:r w:rsidR="00D76916" w:rsidRPr="00577D74">
        <w:rPr>
          <w:rFonts w:ascii="標楷體" w:hAnsi="標楷體" w:hint="eastAsia"/>
          <w:szCs w:val="32"/>
        </w:rPr>
        <w:t>及第三款</w:t>
      </w:r>
      <w:r w:rsidR="00A72AA7" w:rsidRPr="00577D74">
        <w:rPr>
          <w:rFonts w:ascii="標楷體" w:hAnsi="標楷體" w:hint="eastAsia"/>
          <w:szCs w:val="32"/>
        </w:rPr>
        <w:t>之「基本條件</w:t>
      </w:r>
      <w:r w:rsidR="00A72AA7" w:rsidRPr="00A72AA7">
        <w:rPr>
          <w:rFonts w:ascii="標楷體" w:hAnsi="標楷體" w:hint="eastAsia"/>
          <w:szCs w:val="32"/>
        </w:rPr>
        <w:t>」，惟最近二年或三年年度考核得溯及採計留職停薪前同職等之年度考核，並得由行員自行就下列兩種方式擇優採計評分：</w:t>
      </w:r>
    </w:p>
    <w:p w:rsidR="0092607C" w:rsidRPr="0092607C" w:rsidRDefault="0092607C" w:rsidP="006D08B6">
      <w:pPr>
        <w:pStyle w:val="aa"/>
        <w:adjustRightInd w:val="0"/>
        <w:snapToGrid w:val="0"/>
        <w:spacing w:line="480" w:lineRule="exact"/>
        <w:ind w:leftChars="496" w:left="2819" w:hangingChars="509" w:hanging="1629"/>
        <w:rPr>
          <w:rFonts w:ascii="標楷體" w:hAnsi="標楷體"/>
          <w:szCs w:val="32"/>
        </w:rPr>
      </w:pPr>
      <w:r w:rsidRPr="0092607C">
        <w:rPr>
          <w:rFonts w:ascii="標楷體" w:hAnsi="標楷體" w:hint="eastAsia"/>
          <w:szCs w:val="32"/>
        </w:rPr>
        <w:t>(一)甲式：年資、年終考核之評分得溯前採計，惟仍應以採計現職及同職等為限（包含留職停薪前與復職後之年資），且最多合計5年。</w:t>
      </w:r>
    </w:p>
    <w:p w:rsidR="0092607C" w:rsidRPr="0092607C" w:rsidRDefault="0092607C" w:rsidP="006D08B6">
      <w:pPr>
        <w:pStyle w:val="aa"/>
        <w:adjustRightInd w:val="0"/>
        <w:snapToGrid w:val="0"/>
        <w:spacing w:line="480" w:lineRule="exact"/>
        <w:ind w:leftChars="446" w:left="1864" w:hangingChars="248" w:hanging="794"/>
        <w:rPr>
          <w:rFonts w:ascii="標楷體" w:hAnsi="標楷體"/>
          <w:szCs w:val="32"/>
        </w:rPr>
      </w:pPr>
      <w:r w:rsidRPr="0092607C">
        <w:rPr>
          <w:rFonts w:ascii="標楷體" w:hAnsi="標楷體" w:hint="eastAsia"/>
          <w:szCs w:val="32"/>
        </w:rPr>
        <w:t xml:space="preserve"> (二)乙式：留職停薪期間之年資折半採計評分。</w:t>
      </w:r>
    </w:p>
    <w:p w:rsidR="0092607C" w:rsidRPr="0092607C" w:rsidRDefault="0092607C" w:rsidP="006D08B6">
      <w:pPr>
        <w:adjustRightInd w:val="0"/>
        <w:snapToGrid w:val="0"/>
        <w:spacing w:line="480" w:lineRule="exact"/>
        <w:ind w:leftChars="532" w:left="1277"/>
        <w:jc w:val="both"/>
        <w:rPr>
          <w:rFonts w:ascii="標楷體" w:eastAsia="標楷體" w:hAnsi="標楷體"/>
          <w:sz w:val="32"/>
          <w:szCs w:val="32"/>
        </w:rPr>
      </w:pPr>
      <w:r w:rsidRPr="0092607C">
        <w:rPr>
          <w:rFonts w:ascii="標楷體" w:eastAsia="標楷體" w:hAnsi="標楷體" w:hint="eastAsia"/>
          <w:sz w:val="32"/>
          <w:szCs w:val="32"/>
        </w:rPr>
        <w:t>晉升或由非主管人員平調單位正、副主管職務者，除應具備上述基本條件外，並應符合「</w:t>
      </w:r>
      <w:r w:rsidR="00404633" w:rsidRPr="0085744B">
        <w:rPr>
          <w:rStyle w:val="ac"/>
          <w:rFonts w:ascii="標楷體" w:eastAsia="標楷體" w:hAnsi="標楷體"/>
          <w:b w:val="0"/>
          <w:sz w:val="32"/>
        </w:rPr>
        <w:t>銀行負責人應具備資格條件兼職限制及應遵行事項準則</w:t>
      </w:r>
      <w:r w:rsidRPr="0092607C">
        <w:rPr>
          <w:rFonts w:ascii="標楷體" w:eastAsia="標楷體" w:hAnsi="標楷體" w:hint="eastAsia"/>
          <w:sz w:val="32"/>
          <w:szCs w:val="32"/>
        </w:rPr>
        <w:t>」及「</w:t>
      </w:r>
      <w:r w:rsidR="00404633" w:rsidRPr="0037778A">
        <w:rPr>
          <w:rFonts w:ascii="標楷體" w:eastAsia="標楷體" w:hAnsi="標楷體"/>
          <w:bCs/>
          <w:color w:val="000000"/>
          <w:sz w:val="32"/>
          <w:szCs w:val="28"/>
        </w:rPr>
        <w:t>金融控股公司及銀行業內部控制及稽核制度實施辦法</w:t>
      </w:r>
      <w:r w:rsidRPr="0092607C">
        <w:rPr>
          <w:rFonts w:ascii="標楷體" w:eastAsia="標楷體" w:hAnsi="標楷體" w:hint="eastAsia"/>
          <w:sz w:val="32"/>
          <w:szCs w:val="32"/>
        </w:rPr>
        <w:t>」之有關規定，且已參加高級幹部或同心營訓練</w:t>
      </w:r>
      <w:r w:rsidR="008A6FF9">
        <w:rPr>
          <w:rFonts w:ascii="標楷體" w:eastAsia="標楷體" w:hAnsi="標楷體" w:hint="eastAsia"/>
          <w:sz w:val="32"/>
          <w:szCs w:val="32"/>
        </w:rPr>
        <w:t>及經營管理人才培訓班</w:t>
      </w:r>
      <w:r w:rsidR="008B7A77" w:rsidRPr="008B7A77">
        <w:rPr>
          <w:rFonts w:ascii="標楷體" w:eastAsia="標楷體" w:hAnsi="標楷體" w:hint="eastAsia"/>
          <w:sz w:val="32"/>
          <w:szCs w:val="32"/>
        </w:rPr>
        <w:t>者優先派任（未具該訓練資格者於派任後當年度或1年內調訓；曾任單位正、副主管者得免補訓）</w:t>
      </w:r>
      <w:r w:rsidRPr="008B7A77">
        <w:rPr>
          <w:rFonts w:ascii="標楷體" w:eastAsia="標楷體" w:hAnsi="標楷體" w:hint="eastAsia"/>
          <w:sz w:val="32"/>
          <w:szCs w:val="32"/>
        </w:rPr>
        <w:t>，</w:t>
      </w:r>
      <w:r w:rsidRPr="0092607C">
        <w:rPr>
          <w:rFonts w:ascii="標楷體" w:eastAsia="標楷體" w:hAnsi="標楷體" w:hint="eastAsia"/>
          <w:sz w:val="32"/>
          <w:szCs w:val="32"/>
        </w:rPr>
        <w:t>並須衡酌其對徵信、授信、外匯等業務之熟悉程度與其最近三年之單位績效考核</w:t>
      </w:r>
      <w:r w:rsidRPr="0092607C">
        <w:rPr>
          <w:rFonts w:ascii="標楷體" w:eastAsia="標楷體" w:hAnsi="標楷體" w:hint="eastAsia"/>
          <w:sz w:val="32"/>
          <w:szCs w:val="32"/>
        </w:rPr>
        <w:lastRenderedPageBreak/>
        <w:t>良窳情形。</w:t>
      </w:r>
    </w:p>
    <w:p w:rsidR="00147327" w:rsidRDefault="00147327" w:rsidP="006D08B6">
      <w:pPr>
        <w:adjustRightInd w:val="0"/>
        <w:snapToGrid w:val="0"/>
        <w:spacing w:line="500" w:lineRule="exact"/>
        <w:jc w:val="both"/>
        <w:rPr>
          <w:rFonts w:ascii="標楷體" w:eastAsia="標楷體"/>
          <w:sz w:val="32"/>
        </w:rPr>
      </w:pPr>
      <w:r>
        <w:rPr>
          <w:rFonts w:ascii="標楷體" w:eastAsia="標楷體" w:hint="eastAsia"/>
          <w:sz w:val="32"/>
        </w:rPr>
        <w:t>第四條</w:t>
      </w:r>
      <w:r w:rsidR="006552E7">
        <w:rPr>
          <w:rFonts w:ascii="標楷體" w:eastAsia="標楷體" w:hint="eastAsia"/>
          <w:sz w:val="32"/>
        </w:rPr>
        <w:t xml:space="preserve">  </w:t>
      </w:r>
      <w:r>
        <w:rPr>
          <w:rFonts w:ascii="標楷體" w:eastAsia="標楷體" w:hint="eastAsia"/>
          <w:sz w:val="32"/>
        </w:rPr>
        <w:t>本行行員之晉升，其考評項目及配分原則如下表：</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6"/>
        <w:gridCol w:w="697"/>
        <w:gridCol w:w="771"/>
        <w:gridCol w:w="165"/>
        <w:gridCol w:w="607"/>
        <w:gridCol w:w="610"/>
        <w:gridCol w:w="173"/>
        <w:gridCol w:w="772"/>
        <w:gridCol w:w="35"/>
        <w:gridCol w:w="738"/>
        <w:gridCol w:w="3192"/>
      </w:tblGrid>
      <w:tr w:rsidR="007971AA" w:rsidRPr="007971AA">
        <w:trPr>
          <w:trHeight w:val="345"/>
          <w:jc w:val="center"/>
        </w:trPr>
        <w:tc>
          <w:tcPr>
            <w:tcW w:w="1503" w:type="dxa"/>
            <w:gridSpan w:val="2"/>
            <w:vMerge w:val="restart"/>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擬晉升職等</w:t>
            </w:r>
          </w:p>
        </w:tc>
        <w:tc>
          <w:tcPr>
            <w:tcW w:w="3871" w:type="dxa"/>
            <w:gridSpan w:val="8"/>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 xml:space="preserve">考 </w:t>
            </w:r>
            <w:r w:rsidRPr="007971AA">
              <w:rPr>
                <w:rFonts w:ascii="標楷體" w:eastAsia="標楷體" w:hAnsi="標楷體"/>
                <w:sz w:val="20"/>
                <w:szCs w:val="20"/>
              </w:rPr>
              <w:t xml:space="preserve"> </w:t>
            </w:r>
            <w:r w:rsidRPr="007971AA">
              <w:rPr>
                <w:rFonts w:ascii="標楷體" w:eastAsia="標楷體" w:hAnsi="標楷體" w:hint="eastAsia"/>
                <w:sz w:val="20"/>
                <w:szCs w:val="20"/>
              </w:rPr>
              <w:t>評</w:t>
            </w:r>
            <w:r w:rsidRPr="007971AA">
              <w:rPr>
                <w:rFonts w:ascii="標楷體" w:eastAsia="標楷體" w:hAnsi="標楷體"/>
                <w:sz w:val="20"/>
                <w:szCs w:val="20"/>
              </w:rPr>
              <w:t xml:space="preserve"> </w:t>
            </w:r>
            <w:r w:rsidRPr="007971AA">
              <w:rPr>
                <w:rFonts w:ascii="標楷體" w:eastAsia="標楷體" w:hAnsi="標楷體" w:hint="eastAsia"/>
                <w:sz w:val="20"/>
                <w:szCs w:val="20"/>
              </w:rPr>
              <w:t xml:space="preserve"> 項</w:t>
            </w:r>
            <w:r w:rsidRPr="007971AA">
              <w:rPr>
                <w:rFonts w:ascii="標楷體" w:eastAsia="標楷體" w:hAnsi="標楷體"/>
                <w:sz w:val="20"/>
                <w:szCs w:val="20"/>
              </w:rPr>
              <w:t xml:space="preserve"> </w:t>
            </w:r>
            <w:r w:rsidRPr="007971AA">
              <w:rPr>
                <w:rFonts w:ascii="標楷體" w:eastAsia="標楷體" w:hAnsi="標楷體" w:hint="eastAsia"/>
                <w:sz w:val="20"/>
                <w:szCs w:val="20"/>
              </w:rPr>
              <w:t xml:space="preserve"> 目  及  比  重</w:t>
            </w:r>
          </w:p>
        </w:tc>
        <w:tc>
          <w:tcPr>
            <w:tcW w:w="3192" w:type="dxa"/>
            <w:vMerge w:val="restart"/>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備   註</w:t>
            </w:r>
          </w:p>
        </w:tc>
      </w:tr>
      <w:tr w:rsidR="007971AA" w:rsidRPr="007971AA">
        <w:trPr>
          <w:trHeight w:val="375"/>
          <w:jc w:val="center"/>
        </w:trPr>
        <w:tc>
          <w:tcPr>
            <w:tcW w:w="1503" w:type="dxa"/>
            <w:gridSpan w:val="2"/>
            <w:vMerge/>
            <w:vAlign w:val="center"/>
          </w:tcPr>
          <w:p w:rsidR="007971AA" w:rsidRPr="007971AA" w:rsidRDefault="007971AA" w:rsidP="002535DA">
            <w:pPr>
              <w:snapToGrid w:val="0"/>
              <w:spacing w:line="240" w:lineRule="atLeast"/>
              <w:jc w:val="both"/>
              <w:rPr>
                <w:rFonts w:ascii="標楷體" w:eastAsia="標楷體" w:hAnsi="標楷體"/>
                <w:sz w:val="20"/>
                <w:szCs w:val="20"/>
              </w:rPr>
            </w:pPr>
          </w:p>
        </w:tc>
        <w:tc>
          <w:tcPr>
            <w:tcW w:w="771" w:type="dxa"/>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資績分數</w:t>
            </w:r>
          </w:p>
        </w:tc>
        <w:tc>
          <w:tcPr>
            <w:tcW w:w="772"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單位人評會</w:t>
            </w:r>
          </w:p>
        </w:tc>
        <w:tc>
          <w:tcPr>
            <w:tcW w:w="783"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單位主管</w:t>
            </w:r>
          </w:p>
        </w:tc>
        <w:tc>
          <w:tcPr>
            <w:tcW w:w="772" w:type="dxa"/>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區人評會</w:t>
            </w:r>
          </w:p>
        </w:tc>
        <w:tc>
          <w:tcPr>
            <w:tcW w:w="773"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總行人評會</w:t>
            </w:r>
          </w:p>
        </w:tc>
        <w:tc>
          <w:tcPr>
            <w:tcW w:w="3192" w:type="dxa"/>
            <w:vMerge/>
            <w:vAlign w:val="center"/>
          </w:tcPr>
          <w:p w:rsidR="007971AA" w:rsidRPr="007971AA" w:rsidRDefault="007971AA" w:rsidP="002535DA">
            <w:pPr>
              <w:snapToGrid w:val="0"/>
              <w:spacing w:line="240" w:lineRule="atLeast"/>
              <w:jc w:val="both"/>
              <w:rPr>
                <w:rFonts w:ascii="標楷體" w:eastAsia="標楷體" w:hAnsi="標楷體"/>
                <w:sz w:val="20"/>
                <w:szCs w:val="20"/>
              </w:rPr>
            </w:pPr>
          </w:p>
        </w:tc>
      </w:tr>
      <w:tr w:rsidR="007971AA" w:rsidRPr="007971AA" w:rsidTr="00BF4C33">
        <w:trPr>
          <w:trHeight w:val="643"/>
          <w:jc w:val="center"/>
        </w:trPr>
        <w:tc>
          <w:tcPr>
            <w:tcW w:w="1503" w:type="dxa"/>
            <w:gridSpan w:val="2"/>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十三職等研究員</w:t>
            </w:r>
          </w:p>
        </w:tc>
        <w:tc>
          <w:tcPr>
            <w:tcW w:w="771" w:type="dxa"/>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60％</w:t>
            </w:r>
          </w:p>
        </w:tc>
        <w:tc>
          <w:tcPr>
            <w:tcW w:w="772"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p>
        </w:tc>
        <w:tc>
          <w:tcPr>
            <w:tcW w:w="783"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25％</w:t>
            </w:r>
          </w:p>
        </w:tc>
        <w:tc>
          <w:tcPr>
            <w:tcW w:w="772" w:type="dxa"/>
            <w:vAlign w:val="center"/>
          </w:tcPr>
          <w:p w:rsidR="007971AA" w:rsidRPr="007971AA" w:rsidRDefault="007971AA" w:rsidP="002535DA">
            <w:pPr>
              <w:snapToGrid w:val="0"/>
              <w:spacing w:line="240" w:lineRule="atLeast"/>
              <w:ind w:firstLineChars="100" w:firstLine="200"/>
              <w:jc w:val="center"/>
              <w:rPr>
                <w:rFonts w:ascii="標楷體" w:eastAsia="標楷體" w:hAnsi="標楷體"/>
                <w:sz w:val="20"/>
                <w:szCs w:val="20"/>
              </w:rPr>
            </w:pPr>
            <w:r w:rsidRPr="007971AA">
              <w:rPr>
                <w:rFonts w:ascii="標楷體" w:eastAsia="標楷體" w:hAnsi="標楷體" w:hint="eastAsia"/>
                <w:sz w:val="20"/>
                <w:szCs w:val="20"/>
              </w:rPr>
              <w:t>5％</w:t>
            </w:r>
          </w:p>
        </w:tc>
        <w:tc>
          <w:tcPr>
            <w:tcW w:w="773"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10％</w:t>
            </w:r>
          </w:p>
        </w:tc>
        <w:tc>
          <w:tcPr>
            <w:tcW w:w="3192" w:type="dxa"/>
            <w:vAlign w:val="center"/>
          </w:tcPr>
          <w:p w:rsidR="007971AA" w:rsidRPr="007971AA" w:rsidRDefault="007971AA" w:rsidP="002535DA">
            <w:pPr>
              <w:snapToGrid w:val="0"/>
              <w:spacing w:line="240" w:lineRule="atLeast"/>
              <w:jc w:val="both"/>
              <w:rPr>
                <w:rFonts w:ascii="標楷體" w:eastAsia="標楷體" w:hAnsi="標楷體"/>
                <w:sz w:val="20"/>
                <w:szCs w:val="20"/>
              </w:rPr>
            </w:pPr>
          </w:p>
        </w:tc>
      </w:tr>
      <w:tr w:rsidR="007971AA" w:rsidRPr="007971AA" w:rsidTr="00BF4C33">
        <w:trPr>
          <w:trHeight w:val="705"/>
          <w:jc w:val="center"/>
        </w:trPr>
        <w:tc>
          <w:tcPr>
            <w:tcW w:w="1503" w:type="dxa"/>
            <w:gridSpan w:val="2"/>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十至十二職等</w:t>
            </w:r>
          </w:p>
        </w:tc>
        <w:tc>
          <w:tcPr>
            <w:tcW w:w="771" w:type="dxa"/>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60％</w:t>
            </w:r>
          </w:p>
        </w:tc>
        <w:tc>
          <w:tcPr>
            <w:tcW w:w="772"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10％</w:t>
            </w:r>
          </w:p>
        </w:tc>
        <w:tc>
          <w:tcPr>
            <w:tcW w:w="783"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20％</w:t>
            </w:r>
          </w:p>
        </w:tc>
        <w:tc>
          <w:tcPr>
            <w:tcW w:w="772" w:type="dxa"/>
            <w:vAlign w:val="center"/>
          </w:tcPr>
          <w:p w:rsidR="007971AA" w:rsidRPr="007971AA" w:rsidRDefault="007971AA" w:rsidP="002535DA">
            <w:pPr>
              <w:snapToGrid w:val="0"/>
              <w:spacing w:line="240" w:lineRule="atLeast"/>
              <w:ind w:firstLineChars="100" w:firstLine="200"/>
              <w:jc w:val="center"/>
              <w:rPr>
                <w:rFonts w:ascii="標楷體" w:eastAsia="標楷體" w:hAnsi="標楷體"/>
                <w:sz w:val="20"/>
                <w:szCs w:val="20"/>
              </w:rPr>
            </w:pPr>
            <w:r w:rsidRPr="007971AA">
              <w:rPr>
                <w:rFonts w:ascii="標楷體" w:eastAsia="標楷體" w:hAnsi="標楷體" w:hint="eastAsia"/>
                <w:sz w:val="20"/>
                <w:szCs w:val="20"/>
              </w:rPr>
              <w:t>5％</w:t>
            </w:r>
          </w:p>
        </w:tc>
        <w:tc>
          <w:tcPr>
            <w:tcW w:w="773" w:type="dxa"/>
            <w:gridSpan w:val="2"/>
            <w:vAlign w:val="center"/>
          </w:tcPr>
          <w:p w:rsidR="007971AA" w:rsidRPr="007971AA" w:rsidRDefault="007971AA" w:rsidP="002535DA">
            <w:pPr>
              <w:snapToGrid w:val="0"/>
              <w:spacing w:line="240" w:lineRule="atLeast"/>
              <w:ind w:firstLineChars="100" w:firstLine="200"/>
              <w:jc w:val="center"/>
              <w:rPr>
                <w:rFonts w:ascii="標楷體" w:eastAsia="標楷體" w:hAnsi="標楷體"/>
                <w:sz w:val="20"/>
                <w:szCs w:val="20"/>
              </w:rPr>
            </w:pPr>
            <w:r w:rsidRPr="007971AA">
              <w:rPr>
                <w:rFonts w:ascii="標楷體" w:eastAsia="標楷體" w:hAnsi="標楷體" w:hint="eastAsia"/>
                <w:sz w:val="20"/>
                <w:szCs w:val="20"/>
              </w:rPr>
              <w:t>5％</w:t>
            </w:r>
          </w:p>
        </w:tc>
        <w:tc>
          <w:tcPr>
            <w:tcW w:w="3192" w:type="dxa"/>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由總行人評會視名額，依總分排序遴升。</w:t>
            </w:r>
          </w:p>
        </w:tc>
      </w:tr>
      <w:tr w:rsidR="007971AA" w:rsidRPr="007971AA">
        <w:trPr>
          <w:jc w:val="center"/>
        </w:trPr>
        <w:tc>
          <w:tcPr>
            <w:tcW w:w="806" w:type="dxa"/>
            <w:vMerge w:val="restart"/>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九職等</w:t>
            </w:r>
          </w:p>
        </w:tc>
        <w:tc>
          <w:tcPr>
            <w:tcW w:w="697" w:type="dxa"/>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甄試</w:t>
            </w:r>
          </w:p>
        </w:tc>
        <w:tc>
          <w:tcPr>
            <w:tcW w:w="771" w:type="dxa"/>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70％</w:t>
            </w:r>
          </w:p>
        </w:tc>
        <w:tc>
          <w:tcPr>
            <w:tcW w:w="772"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p>
        </w:tc>
        <w:tc>
          <w:tcPr>
            <w:tcW w:w="783" w:type="dxa"/>
            <w:gridSpan w:val="2"/>
            <w:vAlign w:val="center"/>
          </w:tcPr>
          <w:p w:rsidR="007971AA" w:rsidRPr="007971AA" w:rsidRDefault="007971AA" w:rsidP="002535DA">
            <w:pPr>
              <w:snapToGrid w:val="0"/>
              <w:spacing w:line="240" w:lineRule="atLeast"/>
              <w:ind w:firstLineChars="100" w:firstLine="200"/>
              <w:jc w:val="center"/>
              <w:rPr>
                <w:rFonts w:ascii="標楷體" w:eastAsia="標楷體" w:hAnsi="標楷體"/>
                <w:sz w:val="20"/>
                <w:szCs w:val="20"/>
              </w:rPr>
            </w:pPr>
            <w:r w:rsidRPr="007971AA">
              <w:rPr>
                <w:rFonts w:ascii="標楷體" w:eastAsia="標楷體" w:hAnsi="標楷體" w:hint="eastAsia"/>
                <w:sz w:val="20"/>
                <w:szCs w:val="20"/>
              </w:rPr>
              <w:t>30％</w:t>
            </w:r>
          </w:p>
        </w:tc>
        <w:tc>
          <w:tcPr>
            <w:tcW w:w="1545" w:type="dxa"/>
            <w:gridSpan w:val="3"/>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採資格考方式辦理，筆試成績達70分以上始具升任領組之資格。</w:t>
            </w:r>
          </w:p>
        </w:tc>
        <w:tc>
          <w:tcPr>
            <w:tcW w:w="3192" w:type="dxa"/>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筆試成績在錄取名額％以內者不計資績分數。</w:t>
            </w:r>
          </w:p>
        </w:tc>
      </w:tr>
      <w:tr w:rsidR="007971AA" w:rsidRPr="007971AA">
        <w:trPr>
          <w:trHeight w:val="419"/>
          <w:jc w:val="center"/>
        </w:trPr>
        <w:tc>
          <w:tcPr>
            <w:tcW w:w="806" w:type="dxa"/>
            <w:vMerge/>
          </w:tcPr>
          <w:p w:rsidR="007971AA" w:rsidRPr="007971AA" w:rsidRDefault="007971AA" w:rsidP="002535DA">
            <w:pPr>
              <w:snapToGrid w:val="0"/>
              <w:spacing w:line="240" w:lineRule="atLeast"/>
              <w:jc w:val="both"/>
              <w:rPr>
                <w:rFonts w:ascii="標楷體" w:eastAsia="標楷體" w:hAnsi="標楷體"/>
                <w:sz w:val="20"/>
                <w:szCs w:val="20"/>
              </w:rPr>
            </w:pPr>
          </w:p>
        </w:tc>
        <w:tc>
          <w:tcPr>
            <w:tcW w:w="697" w:type="dxa"/>
            <w:vMerge w:val="restart"/>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績優</w:t>
            </w:r>
          </w:p>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資深</w:t>
            </w:r>
          </w:p>
        </w:tc>
        <w:tc>
          <w:tcPr>
            <w:tcW w:w="3871" w:type="dxa"/>
            <w:gridSpan w:val="8"/>
            <w:vAlign w:val="center"/>
          </w:tcPr>
          <w:p w:rsidR="007971AA" w:rsidRPr="007971AA" w:rsidRDefault="007971AA" w:rsidP="002535DA">
            <w:pPr>
              <w:snapToGrid w:val="0"/>
              <w:spacing w:line="240" w:lineRule="atLeast"/>
              <w:rPr>
                <w:rFonts w:ascii="標楷體" w:eastAsia="標楷體" w:hAnsi="標楷體"/>
                <w:sz w:val="20"/>
                <w:szCs w:val="20"/>
              </w:rPr>
            </w:pPr>
            <w:r w:rsidRPr="007971AA">
              <w:rPr>
                <w:rFonts w:ascii="標楷體" w:eastAsia="標楷體" w:hAnsi="標楷體" w:hint="eastAsia"/>
                <w:sz w:val="20"/>
                <w:szCs w:val="20"/>
              </w:rPr>
              <w:t>一、年資滿八年以上，經單位主管推荐者。</w:t>
            </w:r>
          </w:p>
          <w:p w:rsidR="007971AA" w:rsidRPr="007971AA" w:rsidRDefault="007971AA" w:rsidP="002535DA">
            <w:pPr>
              <w:snapToGrid w:val="0"/>
              <w:spacing w:line="240" w:lineRule="atLeast"/>
              <w:ind w:left="400" w:hangingChars="200" w:hanging="400"/>
              <w:rPr>
                <w:rFonts w:ascii="標楷體" w:eastAsia="標楷體" w:hAnsi="標楷體"/>
                <w:sz w:val="20"/>
                <w:szCs w:val="20"/>
              </w:rPr>
            </w:pPr>
            <w:r w:rsidRPr="007971AA">
              <w:rPr>
                <w:rFonts w:ascii="標楷體" w:eastAsia="標楷體" w:hAnsi="標楷體" w:hint="eastAsia"/>
                <w:sz w:val="20"/>
                <w:szCs w:val="20"/>
              </w:rPr>
              <w:t>二、單位主管評分最高30分，資績評分除年資部分外，其餘係依本行職員升遷考核評分標準表計算。</w:t>
            </w:r>
          </w:p>
        </w:tc>
        <w:tc>
          <w:tcPr>
            <w:tcW w:w="3192" w:type="dxa"/>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由總行人評會視名額，依總分排序逐一考評遴升。</w:t>
            </w:r>
          </w:p>
        </w:tc>
      </w:tr>
      <w:tr w:rsidR="007971AA" w:rsidRPr="007971AA">
        <w:trPr>
          <w:jc w:val="center"/>
        </w:trPr>
        <w:tc>
          <w:tcPr>
            <w:tcW w:w="806" w:type="dxa"/>
            <w:vMerge/>
          </w:tcPr>
          <w:p w:rsidR="007971AA" w:rsidRPr="007971AA" w:rsidRDefault="007971AA" w:rsidP="002535DA">
            <w:pPr>
              <w:snapToGrid w:val="0"/>
              <w:spacing w:line="240" w:lineRule="atLeast"/>
              <w:jc w:val="both"/>
              <w:rPr>
                <w:rFonts w:ascii="標楷體" w:eastAsia="標楷體" w:hAnsi="標楷體"/>
                <w:sz w:val="20"/>
                <w:szCs w:val="20"/>
              </w:rPr>
            </w:pPr>
          </w:p>
        </w:tc>
        <w:tc>
          <w:tcPr>
            <w:tcW w:w="697" w:type="dxa"/>
            <w:vMerge/>
          </w:tcPr>
          <w:p w:rsidR="007971AA" w:rsidRPr="007971AA" w:rsidRDefault="007971AA" w:rsidP="002535DA">
            <w:pPr>
              <w:snapToGrid w:val="0"/>
              <w:spacing w:line="240" w:lineRule="atLeast"/>
              <w:jc w:val="both"/>
              <w:rPr>
                <w:rFonts w:ascii="標楷體" w:eastAsia="標楷體" w:hAnsi="標楷體"/>
                <w:sz w:val="20"/>
                <w:szCs w:val="20"/>
              </w:rPr>
            </w:pPr>
          </w:p>
        </w:tc>
        <w:tc>
          <w:tcPr>
            <w:tcW w:w="771" w:type="dxa"/>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資績僅供參考</w:t>
            </w:r>
          </w:p>
        </w:tc>
        <w:tc>
          <w:tcPr>
            <w:tcW w:w="3100" w:type="dxa"/>
            <w:gridSpan w:val="7"/>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執有</w:t>
            </w:r>
            <w:r w:rsidRPr="007971AA">
              <w:rPr>
                <w:rFonts w:ascii="標楷體" w:eastAsia="標楷體" w:hAnsi="標楷體" w:hint="eastAsia"/>
                <w:spacing w:val="6"/>
                <w:sz w:val="20"/>
                <w:szCs w:val="20"/>
              </w:rPr>
              <w:t>律師、會計師、建築師、資訊技師、土木工程技師、結構工程技師、電機工程技師、電子工程技師、CFA（特許財務分析師）、FRM（金融風險管理師）、CFP（理財規劃顧問）、不動產估價師等證書，</w:t>
            </w:r>
            <w:r w:rsidR="0088305E">
              <w:rPr>
                <w:rFonts w:ascii="標楷體" w:eastAsia="標楷體" w:hAnsi="標楷體" w:hint="eastAsia"/>
                <w:spacing w:val="6"/>
                <w:sz w:val="20"/>
                <w:szCs w:val="20"/>
              </w:rPr>
              <w:t>CDCS（信用狀專家國際認證）</w:t>
            </w:r>
            <w:r w:rsidR="00BD140F">
              <w:rPr>
                <w:rFonts w:ascii="標楷體" w:eastAsia="標楷體" w:hAnsi="標楷體" w:hint="eastAsia"/>
                <w:spacing w:val="6"/>
                <w:sz w:val="20"/>
                <w:szCs w:val="20"/>
              </w:rPr>
              <w:t>、PMP(專案管理師)</w:t>
            </w:r>
            <w:r w:rsidRPr="007971AA">
              <w:rPr>
                <w:rFonts w:ascii="標楷體" w:eastAsia="標楷體" w:hAnsi="標楷體" w:hint="eastAsia"/>
                <w:spacing w:val="6"/>
                <w:sz w:val="20"/>
                <w:szCs w:val="20"/>
              </w:rPr>
              <w:t>及取得證券投資分析人員證書，年資滿三年以上，經單位主管推荐者。</w:t>
            </w:r>
          </w:p>
        </w:tc>
        <w:tc>
          <w:tcPr>
            <w:tcW w:w="3192" w:type="dxa"/>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由總行人評會逐一審核遴升。</w:t>
            </w:r>
          </w:p>
        </w:tc>
      </w:tr>
      <w:tr w:rsidR="007971AA" w:rsidRPr="007971AA">
        <w:trPr>
          <w:jc w:val="center"/>
        </w:trPr>
        <w:tc>
          <w:tcPr>
            <w:tcW w:w="1503" w:type="dxa"/>
            <w:gridSpan w:val="2"/>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八職等</w:t>
            </w:r>
          </w:p>
        </w:tc>
        <w:tc>
          <w:tcPr>
            <w:tcW w:w="3871" w:type="dxa"/>
            <w:gridSpan w:val="8"/>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七職等正式年資滿</w:t>
            </w:r>
            <w:r w:rsidR="00A72AA7" w:rsidRPr="007971AA">
              <w:rPr>
                <w:rFonts w:ascii="標楷體" w:eastAsia="標楷體" w:hAnsi="標楷體" w:hint="eastAsia"/>
                <w:sz w:val="20"/>
                <w:szCs w:val="20"/>
              </w:rPr>
              <w:t>二</w:t>
            </w:r>
            <w:r w:rsidRPr="007971AA">
              <w:rPr>
                <w:rFonts w:ascii="標楷體" w:eastAsia="標楷體" w:hAnsi="標楷體" w:hint="eastAsia"/>
                <w:sz w:val="20"/>
                <w:szCs w:val="20"/>
              </w:rPr>
              <w:t>年，</w:t>
            </w:r>
            <w:r w:rsidR="00A72AA7">
              <w:rPr>
                <w:rFonts w:ascii="標楷體" w:eastAsia="標楷體" w:hAnsi="標楷體" w:hint="eastAsia"/>
                <w:sz w:val="20"/>
                <w:szCs w:val="20"/>
              </w:rPr>
              <w:t>由</w:t>
            </w:r>
            <w:r w:rsidRPr="007971AA">
              <w:rPr>
                <w:rFonts w:ascii="標楷體" w:eastAsia="標楷體" w:hAnsi="標楷體" w:hint="eastAsia"/>
                <w:sz w:val="20"/>
                <w:szCs w:val="20"/>
              </w:rPr>
              <w:t>單位主管推荐</w:t>
            </w:r>
            <w:r w:rsidR="00064753">
              <w:rPr>
                <w:rFonts w:ascii="標楷體" w:eastAsia="標楷體" w:hAnsi="標楷體" w:hint="eastAsia"/>
                <w:sz w:val="20"/>
                <w:szCs w:val="20"/>
              </w:rPr>
              <w:t>並考評服務成績達79分以上</w:t>
            </w:r>
            <w:r w:rsidR="00A72AA7">
              <w:rPr>
                <w:rFonts w:ascii="標楷體" w:eastAsia="標楷體" w:hAnsi="標楷體" w:hint="eastAsia"/>
                <w:sz w:val="20"/>
                <w:szCs w:val="20"/>
              </w:rPr>
              <w:t>，經總經理核定</w:t>
            </w:r>
            <w:r w:rsidRPr="007971AA">
              <w:rPr>
                <w:rFonts w:ascii="標楷體" w:eastAsia="標楷體" w:hAnsi="標楷體" w:hint="eastAsia"/>
                <w:sz w:val="20"/>
                <w:szCs w:val="20"/>
              </w:rPr>
              <w:t>後晉升。</w:t>
            </w:r>
          </w:p>
        </w:tc>
        <w:tc>
          <w:tcPr>
            <w:tcW w:w="3192" w:type="dxa"/>
            <w:vAlign w:val="center"/>
          </w:tcPr>
          <w:p w:rsidR="007971AA" w:rsidRPr="007971AA" w:rsidRDefault="007971AA" w:rsidP="002535DA">
            <w:pPr>
              <w:snapToGrid w:val="0"/>
              <w:spacing w:line="240" w:lineRule="atLeast"/>
              <w:jc w:val="both"/>
              <w:rPr>
                <w:rFonts w:ascii="標楷體" w:eastAsia="標楷體" w:hAnsi="標楷體"/>
                <w:sz w:val="20"/>
                <w:szCs w:val="20"/>
              </w:rPr>
            </w:pPr>
          </w:p>
        </w:tc>
      </w:tr>
      <w:tr w:rsidR="007971AA" w:rsidRPr="007971AA">
        <w:trPr>
          <w:trHeight w:val="967"/>
          <w:jc w:val="center"/>
        </w:trPr>
        <w:tc>
          <w:tcPr>
            <w:tcW w:w="1503" w:type="dxa"/>
            <w:gridSpan w:val="2"/>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七職等</w:t>
            </w:r>
          </w:p>
        </w:tc>
        <w:tc>
          <w:tcPr>
            <w:tcW w:w="3871" w:type="dxa"/>
            <w:gridSpan w:val="8"/>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六職等正式年資滿二年，</w:t>
            </w:r>
            <w:r w:rsidR="00A72AA7">
              <w:rPr>
                <w:rFonts w:ascii="標楷體" w:eastAsia="標楷體" w:hAnsi="標楷體" w:hint="eastAsia"/>
                <w:sz w:val="20"/>
                <w:szCs w:val="20"/>
              </w:rPr>
              <w:t>由</w:t>
            </w:r>
            <w:r w:rsidR="00A72AA7" w:rsidRPr="007971AA">
              <w:rPr>
                <w:rFonts w:ascii="標楷體" w:eastAsia="標楷體" w:hAnsi="標楷體" w:hint="eastAsia"/>
                <w:sz w:val="20"/>
                <w:szCs w:val="20"/>
              </w:rPr>
              <w:t>單位主管推荐</w:t>
            </w:r>
            <w:r w:rsidR="00064753">
              <w:rPr>
                <w:rFonts w:ascii="標楷體" w:eastAsia="標楷體" w:hAnsi="標楷體" w:hint="eastAsia"/>
                <w:sz w:val="20"/>
                <w:szCs w:val="20"/>
              </w:rPr>
              <w:t>並考評服務成績達79分以上，</w:t>
            </w:r>
            <w:r w:rsidR="00A72AA7">
              <w:rPr>
                <w:rFonts w:ascii="標楷體" w:eastAsia="標楷體" w:hAnsi="標楷體" w:hint="eastAsia"/>
                <w:sz w:val="20"/>
                <w:szCs w:val="20"/>
              </w:rPr>
              <w:t>經總經理核定</w:t>
            </w:r>
            <w:r w:rsidR="00A72AA7" w:rsidRPr="007971AA">
              <w:rPr>
                <w:rFonts w:ascii="標楷體" w:eastAsia="標楷體" w:hAnsi="標楷體" w:hint="eastAsia"/>
                <w:sz w:val="20"/>
                <w:szCs w:val="20"/>
              </w:rPr>
              <w:t>後晉升。</w:t>
            </w:r>
          </w:p>
        </w:tc>
        <w:tc>
          <w:tcPr>
            <w:tcW w:w="3192" w:type="dxa"/>
          </w:tcPr>
          <w:p w:rsidR="007971AA" w:rsidRPr="007971AA" w:rsidRDefault="007971AA" w:rsidP="002535DA">
            <w:pPr>
              <w:snapToGrid w:val="0"/>
              <w:spacing w:line="240" w:lineRule="atLeast"/>
              <w:jc w:val="both"/>
              <w:rPr>
                <w:rFonts w:ascii="標楷體" w:eastAsia="標楷體" w:hAnsi="標楷體"/>
                <w:sz w:val="20"/>
                <w:szCs w:val="20"/>
              </w:rPr>
            </w:pPr>
          </w:p>
        </w:tc>
      </w:tr>
      <w:tr w:rsidR="007971AA" w:rsidRPr="007971AA">
        <w:trPr>
          <w:trHeight w:val="633"/>
          <w:jc w:val="center"/>
        </w:trPr>
        <w:tc>
          <w:tcPr>
            <w:tcW w:w="1503" w:type="dxa"/>
            <w:gridSpan w:val="2"/>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六職等</w:t>
            </w:r>
          </w:p>
        </w:tc>
        <w:tc>
          <w:tcPr>
            <w:tcW w:w="3871" w:type="dxa"/>
            <w:gridSpan w:val="8"/>
            <w:vAlign w:val="center"/>
          </w:tcPr>
          <w:p w:rsidR="007971AA" w:rsidRPr="007971AA" w:rsidRDefault="007971AA" w:rsidP="002535DA">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五職等年資滿二年以上（含試用期間），</w:t>
            </w:r>
            <w:r w:rsidR="00A72AA7">
              <w:rPr>
                <w:rFonts w:ascii="標楷體" w:eastAsia="標楷體" w:hAnsi="標楷體" w:hint="eastAsia"/>
                <w:sz w:val="20"/>
                <w:szCs w:val="20"/>
              </w:rPr>
              <w:t>由</w:t>
            </w:r>
            <w:r w:rsidR="00A72AA7" w:rsidRPr="007971AA">
              <w:rPr>
                <w:rFonts w:ascii="標楷體" w:eastAsia="標楷體" w:hAnsi="標楷體" w:hint="eastAsia"/>
                <w:sz w:val="20"/>
                <w:szCs w:val="20"/>
              </w:rPr>
              <w:t>單位主管推荐</w:t>
            </w:r>
            <w:r w:rsidR="00064753">
              <w:rPr>
                <w:rFonts w:ascii="標楷體" w:eastAsia="標楷體" w:hAnsi="標楷體" w:hint="eastAsia"/>
                <w:sz w:val="20"/>
                <w:szCs w:val="20"/>
              </w:rPr>
              <w:t>並考評服務成績達79分以上，</w:t>
            </w:r>
            <w:r w:rsidR="00A72AA7">
              <w:rPr>
                <w:rFonts w:ascii="標楷體" w:eastAsia="標楷體" w:hAnsi="標楷體" w:hint="eastAsia"/>
                <w:sz w:val="20"/>
                <w:szCs w:val="20"/>
              </w:rPr>
              <w:t>經總經理核定</w:t>
            </w:r>
            <w:r w:rsidR="00A72AA7" w:rsidRPr="007971AA">
              <w:rPr>
                <w:rFonts w:ascii="標楷體" w:eastAsia="標楷體" w:hAnsi="標楷體" w:hint="eastAsia"/>
                <w:sz w:val="20"/>
                <w:szCs w:val="20"/>
              </w:rPr>
              <w:t>後晉升。</w:t>
            </w:r>
          </w:p>
        </w:tc>
        <w:tc>
          <w:tcPr>
            <w:tcW w:w="3192" w:type="dxa"/>
          </w:tcPr>
          <w:p w:rsidR="007971AA" w:rsidRPr="007971AA" w:rsidRDefault="007971AA" w:rsidP="002535DA">
            <w:pPr>
              <w:snapToGrid w:val="0"/>
              <w:spacing w:line="240" w:lineRule="atLeast"/>
              <w:jc w:val="both"/>
              <w:rPr>
                <w:rFonts w:ascii="標楷體" w:eastAsia="標楷體" w:hAnsi="標楷體"/>
                <w:sz w:val="20"/>
                <w:szCs w:val="20"/>
              </w:rPr>
            </w:pPr>
          </w:p>
        </w:tc>
      </w:tr>
      <w:tr w:rsidR="007971AA" w:rsidRPr="007971AA" w:rsidTr="00AF5E00">
        <w:trPr>
          <w:trHeight w:val="477"/>
          <w:jc w:val="center"/>
        </w:trPr>
        <w:tc>
          <w:tcPr>
            <w:tcW w:w="1503" w:type="dxa"/>
            <w:gridSpan w:val="2"/>
            <w:vAlign w:val="center"/>
          </w:tcPr>
          <w:p w:rsidR="007971AA" w:rsidRPr="007971AA" w:rsidRDefault="007971AA" w:rsidP="00AF5E00">
            <w:pPr>
              <w:snapToGrid w:val="0"/>
              <w:spacing w:line="240" w:lineRule="atLeast"/>
              <w:jc w:val="both"/>
              <w:rPr>
                <w:rFonts w:ascii="標楷體" w:eastAsia="標楷體" w:hAnsi="標楷體"/>
                <w:sz w:val="20"/>
                <w:szCs w:val="20"/>
              </w:rPr>
            </w:pPr>
            <w:r w:rsidRPr="007971AA">
              <w:rPr>
                <w:rFonts w:ascii="標楷體" w:eastAsia="標楷體" w:hAnsi="標楷體" w:hint="eastAsia"/>
                <w:sz w:val="20"/>
                <w:szCs w:val="20"/>
              </w:rPr>
              <w:t>工友晉升技工</w:t>
            </w:r>
          </w:p>
        </w:tc>
        <w:tc>
          <w:tcPr>
            <w:tcW w:w="936"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90％</w:t>
            </w:r>
          </w:p>
        </w:tc>
        <w:tc>
          <w:tcPr>
            <w:tcW w:w="1217" w:type="dxa"/>
            <w:gridSpan w:val="2"/>
            <w:vAlign w:val="center"/>
          </w:tcPr>
          <w:p w:rsidR="007971AA" w:rsidRPr="007971AA" w:rsidRDefault="007971AA" w:rsidP="002535DA">
            <w:pPr>
              <w:snapToGrid w:val="0"/>
              <w:spacing w:line="240" w:lineRule="atLeast"/>
              <w:jc w:val="center"/>
              <w:rPr>
                <w:rFonts w:ascii="標楷體" w:eastAsia="標楷體" w:hAnsi="標楷體"/>
                <w:sz w:val="20"/>
                <w:szCs w:val="20"/>
              </w:rPr>
            </w:pPr>
          </w:p>
        </w:tc>
        <w:tc>
          <w:tcPr>
            <w:tcW w:w="980" w:type="dxa"/>
            <w:gridSpan w:val="3"/>
            <w:vAlign w:val="center"/>
          </w:tcPr>
          <w:p w:rsidR="007971AA" w:rsidRPr="007971AA" w:rsidRDefault="007971AA" w:rsidP="002535DA">
            <w:pPr>
              <w:snapToGrid w:val="0"/>
              <w:spacing w:line="240" w:lineRule="atLeast"/>
              <w:jc w:val="center"/>
              <w:rPr>
                <w:rFonts w:ascii="標楷體" w:eastAsia="標楷體" w:hAnsi="標楷體"/>
                <w:sz w:val="20"/>
                <w:szCs w:val="20"/>
              </w:rPr>
            </w:pPr>
            <w:r w:rsidRPr="007971AA">
              <w:rPr>
                <w:rFonts w:ascii="標楷體" w:eastAsia="標楷體" w:hAnsi="標楷體" w:hint="eastAsia"/>
                <w:sz w:val="20"/>
                <w:szCs w:val="20"/>
              </w:rPr>
              <w:t>10％</w:t>
            </w:r>
          </w:p>
        </w:tc>
        <w:tc>
          <w:tcPr>
            <w:tcW w:w="738" w:type="dxa"/>
            <w:vAlign w:val="center"/>
          </w:tcPr>
          <w:p w:rsidR="007971AA" w:rsidRPr="007971AA" w:rsidRDefault="007971AA" w:rsidP="002535DA">
            <w:pPr>
              <w:snapToGrid w:val="0"/>
              <w:spacing w:line="240" w:lineRule="atLeast"/>
              <w:jc w:val="both"/>
              <w:rPr>
                <w:rFonts w:ascii="標楷體" w:eastAsia="標楷體" w:hAnsi="標楷體"/>
                <w:sz w:val="20"/>
                <w:szCs w:val="20"/>
              </w:rPr>
            </w:pPr>
          </w:p>
        </w:tc>
        <w:tc>
          <w:tcPr>
            <w:tcW w:w="3192" w:type="dxa"/>
          </w:tcPr>
          <w:p w:rsidR="007971AA" w:rsidRPr="007971AA" w:rsidRDefault="007971AA" w:rsidP="002535DA">
            <w:pPr>
              <w:snapToGrid w:val="0"/>
              <w:spacing w:line="240" w:lineRule="atLeast"/>
              <w:jc w:val="both"/>
              <w:rPr>
                <w:rFonts w:ascii="標楷體" w:eastAsia="標楷體" w:hAnsi="標楷體"/>
                <w:sz w:val="20"/>
                <w:szCs w:val="20"/>
              </w:rPr>
            </w:pPr>
          </w:p>
        </w:tc>
      </w:tr>
    </w:tbl>
    <w:p w:rsidR="00147327" w:rsidRPr="000A0794" w:rsidRDefault="00147327" w:rsidP="000A0794">
      <w:pPr>
        <w:jc w:val="both"/>
        <w:rPr>
          <w:rFonts w:ascii="標楷體" w:eastAsia="標楷體"/>
          <w:sz w:val="16"/>
          <w:szCs w:val="16"/>
        </w:rPr>
      </w:pPr>
    </w:p>
    <w:p w:rsidR="000F6185" w:rsidRPr="000F6185" w:rsidRDefault="00147327" w:rsidP="006D08B6">
      <w:pPr>
        <w:spacing w:line="480" w:lineRule="exact"/>
        <w:ind w:left="960" w:hangingChars="300" w:hanging="960"/>
        <w:jc w:val="both"/>
        <w:rPr>
          <w:rFonts w:ascii="標楷體" w:eastAsia="標楷體" w:hAnsi="標楷體"/>
          <w:sz w:val="32"/>
          <w:szCs w:val="32"/>
        </w:rPr>
      </w:pPr>
      <w:r>
        <w:rPr>
          <w:rFonts w:ascii="標楷體" w:eastAsia="標楷體" w:hint="eastAsia"/>
          <w:sz w:val="32"/>
        </w:rPr>
        <w:t>第五條</w:t>
      </w:r>
      <w:r w:rsidR="007D3771">
        <w:rPr>
          <w:rFonts w:ascii="標楷體" w:eastAsia="標楷體" w:hint="eastAsia"/>
          <w:sz w:val="32"/>
        </w:rPr>
        <w:t xml:space="preserve">  </w:t>
      </w:r>
      <w:r w:rsidR="000F6185" w:rsidRPr="000F6185">
        <w:rPr>
          <w:rFonts w:ascii="標楷體" w:eastAsia="標楷體" w:hAnsi="標楷體" w:hint="eastAsia"/>
          <w:sz w:val="32"/>
          <w:szCs w:val="32"/>
        </w:rPr>
        <w:t xml:space="preserve">本行行員之升遷，除另有規定者外，其作業原則如下： </w:t>
      </w:r>
    </w:p>
    <w:p w:rsidR="006552E7" w:rsidRPr="006552E7" w:rsidRDefault="000F6185" w:rsidP="006D08B6">
      <w:pPr>
        <w:spacing w:line="480" w:lineRule="exact"/>
        <w:ind w:leftChars="532" w:left="1917" w:hangingChars="200" w:hanging="640"/>
        <w:jc w:val="both"/>
        <w:rPr>
          <w:rFonts w:ascii="標楷體" w:eastAsia="標楷體" w:hAnsi="標楷體"/>
          <w:sz w:val="32"/>
          <w:szCs w:val="32"/>
        </w:rPr>
      </w:pPr>
      <w:r w:rsidRPr="006552E7">
        <w:rPr>
          <w:rFonts w:ascii="標楷體" w:eastAsia="標楷體" w:hAnsi="標楷體" w:hint="eastAsia"/>
          <w:sz w:val="32"/>
          <w:szCs w:val="32"/>
        </w:rPr>
        <w:t>一、晉升或平調單位主管及專門委員職務者，由董事長、總經理、副總經理及</w:t>
      </w:r>
      <w:r w:rsidR="00A504D3">
        <w:rPr>
          <w:rFonts w:ascii="標楷體" w:eastAsia="標楷體" w:hAnsi="標楷體" w:hint="eastAsia"/>
          <w:sz w:val="32"/>
          <w:szCs w:val="32"/>
        </w:rPr>
        <w:t>人力資源處處長</w:t>
      </w:r>
      <w:r w:rsidRPr="006552E7">
        <w:rPr>
          <w:rFonts w:ascii="標楷體" w:eastAsia="標楷體" w:hAnsi="標楷體" w:hint="eastAsia"/>
          <w:sz w:val="32"/>
          <w:szCs w:val="32"/>
        </w:rPr>
        <w:t>，參酌</w:t>
      </w:r>
      <w:r w:rsidR="00A504D3">
        <w:rPr>
          <w:rFonts w:ascii="標楷體" w:eastAsia="標楷體" w:hAnsi="標楷體" w:hint="eastAsia"/>
          <w:sz w:val="32"/>
          <w:szCs w:val="32"/>
        </w:rPr>
        <w:t>人力資源處</w:t>
      </w:r>
      <w:r w:rsidRPr="006552E7">
        <w:rPr>
          <w:rFonts w:ascii="標楷體" w:eastAsia="標楷體" w:hAnsi="標楷體" w:hint="eastAsia"/>
          <w:sz w:val="32"/>
          <w:szCs w:val="32"/>
        </w:rPr>
        <w:t>提供各人選之相關資料，擬具建議名單，並依規定</w:t>
      </w:r>
      <w:bookmarkStart w:id="0" w:name="_GoBack"/>
      <w:r w:rsidRPr="006552E7">
        <w:rPr>
          <w:rFonts w:ascii="標楷體" w:eastAsia="標楷體" w:hAnsi="標楷體" w:hint="eastAsia"/>
          <w:sz w:val="32"/>
          <w:szCs w:val="32"/>
        </w:rPr>
        <w:t>程序提報常務董事會或董事會核定。晉升或平調單位</w:t>
      </w:r>
      <w:bookmarkEnd w:id="0"/>
      <w:r w:rsidRPr="006552E7">
        <w:rPr>
          <w:rFonts w:ascii="標楷體" w:eastAsia="標楷體" w:hAnsi="標楷體" w:hint="eastAsia"/>
          <w:sz w:val="32"/>
          <w:szCs w:val="32"/>
        </w:rPr>
        <w:t>副主管</w:t>
      </w:r>
      <w:r w:rsidR="0044710C">
        <w:rPr>
          <w:rFonts w:ascii="標楷體" w:eastAsia="標楷體" w:hAnsi="標楷體" w:hint="eastAsia"/>
          <w:sz w:val="32"/>
          <w:szCs w:val="32"/>
        </w:rPr>
        <w:t>職務者，</w:t>
      </w:r>
      <w:r w:rsidR="0044710C" w:rsidRPr="006552E7">
        <w:rPr>
          <w:rFonts w:ascii="標楷體" w:eastAsia="標楷體" w:hAnsi="標楷體" w:hint="eastAsia"/>
          <w:sz w:val="32"/>
          <w:szCs w:val="32"/>
        </w:rPr>
        <w:t>由董事長、總經理、副總經理及</w:t>
      </w:r>
      <w:r w:rsidR="0044710C">
        <w:rPr>
          <w:rFonts w:ascii="標楷體" w:eastAsia="標楷體" w:hAnsi="標楷體" w:hint="eastAsia"/>
          <w:sz w:val="32"/>
          <w:szCs w:val="32"/>
        </w:rPr>
        <w:t>人力資源處處長</w:t>
      </w:r>
      <w:r w:rsidR="0044710C" w:rsidRPr="006552E7">
        <w:rPr>
          <w:rFonts w:ascii="標楷體" w:eastAsia="標楷體" w:hAnsi="標楷體" w:hint="eastAsia"/>
          <w:sz w:val="32"/>
          <w:szCs w:val="32"/>
        </w:rPr>
        <w:t>，參酌</w:t>
      </w:r>
      <w:r w:rsidR="0044710C">
        <w:rPr>
          <w:rFonts w:ascii="標楷體" w:eastAsia="標楷體" w:hAnsi="標楷體" w:hint="eastAsia"/>
          <w:sz w:val="32"/>
          <w:szCs w:val="32"/>
        </w:rPr>
        <w:t>人力資源處</w:t>
      </w:r>
      <w:r w:rsidR="0044710C" w:rsidRPr="006552E7">
        <w:rPr>
          <w:rFonts w:ascii="標楷體" w:eastAsia="標楷體" w:hAnsi="標楷體" w:hint="eastAsia"/>
          <w:sz w:val="32"/>
          <w:szCs w:val="32"/>
        </w:rPr>
        <w:t>提供各人選之相關資料，</w:t>
      </w:r>
      <w:r w:rsidR="0044710C" w:rsidRPr="006552E7">
        <w:rPr>
          <w:rFonts w:ascii="標楷體" w:eastAsia="標楷體" w:hAnsi="標楷體" w:hint="eastAsia"/>
          <w:sz w:val="32"/>
          <w:szCs w:val="32"/>
        </w:rPr>
        <w:lastRenderedPageBreak/>
        <w:t>擬具建議名單</w:t>
      </w:r>
      <w:r w:rsidR="00B91619">
        <w:rPr>
          <w:rFonts w:ascii="標楷體" w:eastAsia="標楷體" w:hAnsi="標楷體" w:hint="eastAsia"/>
          <w:sz w:val="32"/>
          <w:szCs w:val="32"/>
        </w:rPr>
        <w:t>簽請董事長核定。晉升或平調</w:t>
      </w:r>
      <w:r w:rsidRPr="006552E7">
        <w:rPr>
          <w:rFonts w:ascii="標楷體" w:eastAsia="標楷體" w:hAnsi="標楷體" w:hint="eastAsia"/>
          <w:sz w:val="32"/>
          <w:szCs w:val="32"/>
        </w:rPr>
        <w:t>研究員職務者，由人事副總經理及</w:t>
      </w:r>
      <w:r w:rsidR="00A504D3">
        <w:rPr>
          <w:rFonts w:ascii="標楷體" w:eastAsia="標楷體" w:hAnsi="標楷體" w:hint="eastAsia"/>
          <w:sz w:val="32"/>
          <w:szCs w:val="32"/>
        </w:rPr>
        <w:t>人力資源處處長</w:t>
      </w:r>
      <w:r w:rsidRPr="006552E7">
        <w:rPr>
          <w:rFonts w:ascii="標楷體" w:eastAsia="標楷體" w:hAnsi="標楷體" w:hint="eastAsia"/>
          <w:sz w:val="32"/>
          <w:szCs w:val="32"/>
        </w:rPr>
        <w:t>，擬具建議名單簽請總經理核定；其中升任研究員者，須參酌其資績分數、單位主管、區及總行人事評議委員會考評之合計總分。</w:t>
      </w:r>
    </w:p>
    <w:p w:rsidR="006552E7" w:rsidRPr="006552E7" w:rsidRDefault="000F6185" w:rsidP="006D08B6">
      <w:pPr>
        <w:spacing w:line="480" w:lineRule="exact"/>
        <w:ind w:leftChars="532" w:left="1917" w:hangingChars="200" w:hanging="640"/>
        <w:jc w:val="both"/>
        <w:rPr>
          <w:rFonts w:ascii="標楷體" w:eastAsia="標楷體" w:hAnsi="標楷體"/>
          <w:sz w:val="32"/>
          <w:szCs w:val="32"/>
        </w:rPr>
      </w:pPr>
      <w:r w:rsidRPr="006552E7">
        <w:rPr>
          <w:rFonts w:ascii="標楷體" w:eastAsia="標楷體" w:hAnsi="標楷體" w:hint="eastAsia"/>
          <w:sz w:val="32"/>
          <w:szCs w:val="32"/>
        </w:rPr>
        <w:t>二、晉升十至十二職等（不含單位正、副主管）職務者，係以被保荐人之資績分數、單位主管及各級人事評議委員會考評之合計總分，作為總行人事評議委員會依序遴升之依據，升職人員由總經理核定；晉升九職等以下職務人員，由總經理核定。被保荐人之單位主管及各級人事評議委員會考評合計分數，在該區同職等</w:t>
      </w:r>
      <w:r w:rsidR="00D65409">
        <w:rPr>
          <w:rFonts w:ascii="標楷體" w:eastAsia="標楷體" w:hAnsi="標楷體" w:hint="eastAsia"/>
          <w:sz w:val="32"/>
          <w:szCs w:val="32"/>
        </w:rPr>
        <w:t>分別依晉升十至十二職等</w:t>
      </w:r>
      <w:r w:rsidRPr="006552E7">
        <w:rPr>
          <w:rFonts w:ascii="標楷體" w:eastAsia="標楷體" w:hAnsi="標楷體" w:hint="eastAsia"/>
          <w:sz w:val="32"/>
          <w:szCs w:val="32"/>
        </w:rPr>
        <w:t>推荐名單前</w:t>
      </w:r>
      <w:r w:rsidR="00D65409">
        <w:rPr>
          <w:rFonts w:ascii="標楷體" w:eastAsia="標楷體" w:hAnsi="標楷體" w:hint="eastAsia"/>
          <w:sz w:val="32"/>
          <w:szCs w:val="32"/>
        </w:rPr>
        <w:t>7</w:t>
      </w:r>
      <w:r w:rsidRPr="006552E7">
        <w:rPr>
          <w:rFonts w:ascii="標楷體" w:eastAsia="標楷體" w:hAnsi="標楷體" w:hint="eastAsia"/>
          <w:sz w:val="32"/>
          <w:szCs w:val="32"/>
        </w:rPr>
        <w:t>％</w:t>
      </w:r>
      <w:r w:rsidR="00D65409">
        <w:rPr>
          <w:rFonts w:ascii="標楷體" w:eastAsia="標楷體" w:hAnsi="標楷體" w:hint="eastAsia"/>
          <w:sz w:val="32"/>
          <w:szCs w:val="32"/>
        </w:rPr>
        <w:t>、6％、5％</w:t>
      </w:r>
      <w:r w:rsidRPr="006552E7">
        <w:rPr>
          <w:rFonts w:ascii="標楷體" w:eastAsia="標楷體" w:hAnsi="標楷體" w:hint="eastAsia"/>
          <w:sz w:val="32"/>
          <w:szCs w:val="32"/>
        </w:rPr>
        <w:t>（四捨五入）者，得不計資績分數，優先提報總行人事評議委員會建議遴升。</w:t>
      </w:r>
    </w:p>
    <w:p w:rsidR="006552E7" w:rsidRPr="006552E7" w:rsidRDefault="000F6185" w:rsidP="006D08B6">
      <w:pPr>
        <w:spacing w:line="480" w:lineRule="exact"/>
        <w:ind w:leftChars="532" w:left="1917" w:hangingChars="200" w:hanging="640"/>
        <w:jc w:val="both"/>
        <w:rPr>
          <w:rFonts w:ascii="標楷體" w:eastAsia="標楷體" w:hAnsi="標楷體"/>
          <w:sz w:val="32"/>
          <w:szCs w:val="32"/>
        </w:rPr>
      </w:pPr>
      <w:r w:rsidRPr="006552E7">
        <w:rPr>
          <w:rFonts w:ascii="標楷體" w:eastAsia="標楷體" w:hAnsi="標楷體" w:hint="eastAsia"/>
          <w:sz w:val="32"/>
          <w:szCs w:val="32"/>
        </w:rPr>
        <w:t>三、八職等晉升九職等職務者，採甄試及績優資深遴審二種作業方式，每年統籌辦理一次。</w:t>
      </w:r>
    </w:p>
    <w:p w:rsidR="00E66F02" w:rsidRDefault="000F6185" w:rsidP="006D08B6">
      <w:pPr>
        <w:spacing w:line="480" w:lineRule="exact"/>
        <w:ind w:leftChars="532" w:left="1917" w:hangingChars="200" w:hanging="640"/>
        <w:jc w:val="both"/>
        <w:rPr>
          <w:rFonts w:ascii="標楷體" w:eastAsia="標楷體" w:hAnsi="標楷體"/>
          <w:sz w:val="32"/>
          <w:szCs w:val="32"/>
        </w:rPr>
      </w:pPr>
      <w:r w:rsidRPr="006552E7">
        <w:rPr>
          <w:rFonts w:ascii="標楷體" w:eastAsia="標楷體" w:hAnsi="標楷體" w:hint="eastAsia"/>
          <w:sz w:val="32"/>
          <w:szCs w:val="32"/>
        </w:rPr>
        <w:t>四、晉升六至八職等職務者，由單位主管考核保荐，每年統籌辦理一次。</w:t>
      </w:r>
    </w:p>
    <w:p w:rsidR="00E66F02" w:rsidRDefault="000F6185" w:rsidP="006D08B6">
      <w:pPr>
        <w:spacing w:line="480" w:lineRule="exact"/>
        <w:ind w:leftChars="532" w:left="1917" w:hangingChars="200" w:hanging="640"/>
        <w:jc w:val="both"/>
        <w:rPr>
          <w:rFonts w:ascii="標楷體" w:eastAsia="標楷體" w:hAnsi="標楷體"/>
          <w:sz w:val="32"/>
          <w:szCs w:val="32"/>
        </w:rPr>
      </w:pPr>
      <w:r w:rsidRPr="000F6185">
        <w:rPr>
          <w:rFonts w:ascii="標楷體" w:eastAsia="標楷體" w:hAnsi="標楷體" w:hint="eastAsia"/>
          <w:sz w:val="32"/>
          <w:szCs w:val="32"/>
        </w:rPr>
        <w:t>五、工員級行員，最高以晉升至第四職等為限，每年統籌辦理一次。</w:t>
      </w:r>
    </w:p>
    <w:p w:rsidR="000F6185" w:rsidRPr="000928F1" w:rsidRDefault="000F6185" w:rsidP="006D08B6">
      <w:pPr>
        <w:spacing w:line="480" w:lineRule="exact"/>
        <w:ind w:leftChars="532" w:left="1277"/>
        <w:jc w:val="both"/>
        <w:rPr>
          <w:rFonts w:ascii="標楷體" w:eastAsia="標楷體" w:hAnsi="標楷體"/>
          <w:sz w:val="32"/>
          <w:szCs w:val="32"/>
        </w:rPr>
      </w:pPr>
      <w:r w:rsidRPr="000928F1">
        <w:rPr>
          <w:rFonts w:ascii="標楷體" w:eastAsia="標楷體" w:hAnsi="標楷體" w:hint="eastAsia"/>
          <w:sz w:val="32"/>
          <w:szCs w:val="32"/>
        </w:rPr>
        <w:t>有關研究員以下行員之升遷作業規定</w:t>
      </w:r>
      <w:r w:rsidR="000928F1" w:rsidRPr="000928F1">
        <w:rPr>
          <w:rFonts w:ascii="標楷體" w:eastAsia="標楷體" w:hAnsi="標楷體" w:hint="eastAsia"/>
          <w:sz w:val="32"/>
          <w:szCs w:val="32"/>
        </w:rPr>
        <w:t>及</w:t>
      </w:r>
      <w:r w:rsidR="000928F1" w:rsidRPr="000928F1">
        <w:rPr>
          <w:rFonts w:ascii="標楷體" w:eastAsia="標楷體" w:hAnsi="標楷體" w:hint="eastAsia"/>
          <w:sz w:val="32"/>
          <w:szCs w:val="20"/>
        </w:rPr>
        <w:t>商調至臺灣金控及其他子公司擬回任</w:t>
      </w:r>
      <w:r w:rsidR="000928F1" w:rsidRPr="000928F1">
        <w:rPr>
          <w:rFonts w:ascii="標楷體" w:eastAsia="標楷體" w:hAnsi="標楷體" w:hint="eastAsia"/>
          <w:sz w:val="32"/>
        </w:rPr>
        <w:t>本行</w:t>
      </w:r>
      <w:r w:rsidR="000928F1" w:rsidRPr="000928F1">
        <w:rPr>
          <w:rFonts w:ascii="標楷體" w:eastAsia="標楷體" w:hAnsi="標楷體" w:hint="eastAsia"/>
          <w:sz w:val="32"/>
          <w:szCs w:val="20"/>
        </w:rPr>
        <w:t>人員之回任敘支職等級作業原則分別</w:t>
      </w:r>
      <w:r w:rsidRPr="000928F1">
        <w:rPr>
          <w:rFonts w:ascii="標楷體" w:eastAsia="標楷體" w:hAnsi="標楷體" w:hint="eastAsia"/>
          <w:sz w:val="32"/>
          <w:szCs w:val="32"/>
        </w:rPr>
        <w:t>另訂之。</w:t>
      </w:r>
    </w:p>
    <w:p w:rsidR="007D3771" w:rsidRPr="007D3771" w:rsidRDefault="00147327" w:rsidP="006D08B6">
      <w:pPr>
        <w:spacing w:line="480" w:lineRule="exact"/>
        <w:ind w:left="1280" w:hangingChars="400" w:hanging="1280"/>
        <w:jc w:val="both"/>
        <w:rPr>
          <w:rFonts w:ascii="標楷體" w:eastAsia="標楷體" w:hAnsi="標楷體"/>
          <w:sz w:val="32"/>
          <w:szCs w:val="32"/>
        </w:rPr>
      </w:pPr>
      <w:r w:rsidRPr="007D3771">
        <w:rPr>
          <w:rFonts w:ascii="標楷體" w:eastAsia="標楷體" w:hAnsi="標楷體" w:hint="eastAsia"/>
          <w:sz w:val="32"/>
          <w:szCs w:val="32"/>
        </w:rPr>
        <w:t>第六條</w:t>
      </w:r>
      <w:r w:rsidR="007D3771" w:rsidRPr="007D3771">
        <w:rPr>
          <w:rFonts w:ascii="標楷體" w:eastAsia="標楷體" w:hAnsi="標楷體" w:hint="eastAsia"/>
          <w:sz w:val="32"/>
          <w:szCs w:val="32"/>
        </w:rPr>
        <w:t xml:space="preserve">  九職等以上人員，首長基於業務需要考量得於符合升遷資格人員中專案擢升；有下列各款情事之一者，亦得基於業務特殊需要考量，由其單位主管保荐，提經總行人事評議委員會審議，依規定程序簽奉核定後晉升，不受第三條年資及第四條相關規定之限制。</w:t>
      </w:r>
    </w:p>
    <w:p w:rsidR="007D3771" w:rsidRDefault="007D3771" w:rsidP="006D08B6">
      <w:pPr>
        <w:numPr>
          <w:ilvl w:val="0"/>
          <w:numId w:val="16"/>
        </w:numPr>
        <w:spacing w:line="480" w:lineRule="exact"/>
        <w:jc w:val="both"/>
        <w:rPr>
          <w:rFonts w:ascii="標楷體" w:eastAsia="標楷體" w:hAnsi="標楷體"/>
          <w:sz w:val="32"/>
          <w:szCs w:val="32"/>
        </w:rPr>
      </w:pPr>
      <w:r w:rsidRPr="007D3771">
        <w:rPr>
          <w:rFonts w:ascii="標楷體" w:eastAsia="標楷體" w:hAnsi="標楷體" w:hint="eastAsia"/>
          <w:sz w:val="32"/>
          <w:szCs w:val="32"/>
        </w:rPr>
        <w:t>執行重要政策或業務，克服危難，成效特優或有特殊績效者。</w:t>
      </w:r>
    </w:p>
    <w:p w:rsidR="007D3771" w:rsidRDefault="007D3771" w:rsidP="006D08B6">
      <w:pPr>
        <w:numPr>
          <w:ilvl w:val="0"/>
          <w:numId w:val="16"/>
        </w:numPr>
        <w:spacing w:line="480" w:lineRule="exact"/>
        <w:jc w:val="both"/>
        <w:rPr>
          <w:rFonts w:ascii="標楷體" w:eastAsia="標楷體" w:hAnsi="標楷體"/>
          <w:sz w:val="32"/>
          <w:szCs w:val="32"/>
        </w:rPr>
      </w:pPr>
      <w:r w:rsidRPr="007D3771">
        <w:rPr>
          <w:rFonts w:ascii="標楷體" w:eastAsia="標楷體" w:hAnsi="標楷體" w:hint="eastAsia"/>
          <w:sz w:val="32"/>
          <w:szCs w:val="32"/>
        </w:rPr>
        <w:lastRenderedPageBreak/>
        <w:t>增加本行鉅額收入或積極爭取多家優良客戶長期保持良好往來，有具體事實者。</w:t>
      </w:r>
    </w:p>
    <w:p w:rsidR="007D3771" w:rsidRDefault="007D3771" w:rsidP="006D08B6">
      <w:pPr>
        <w:numPr>
          <w:ilvl w:val="0"/>
          <w:numId w:val="16"/>
        </w:numPr>
        <w:spacing w:line="480" w:lineRule="exact"/>
        <w:jc w:val="both"/>
        <w:rPr>
          <w:rFonts w:ascii="標楷體" w:eastAsia="標楷體" w:hAnsi="標楷體"/>
          <w:sz w:val="32"/>
          <w:szCs w:val="32"/>
        </w:rPr>
      </w:pPr>
      <w:r w:rsidRPr="007D3771">
        <w:rPr>
          <w:rFonts w:ascii="標楷體" w:eastAsia="標楷體" w:hAnsi="標楷體" w:hint="eastAsia"/>
          <w:sz w:val="32"/>
          <w:szCs w:val="32"/>
        </w:rPr>
        <w:t>擘劃推動業務重大興革方案，經採行確具豐碩成效者。</w:t>
      </w:r>
    </w:p>
    <w:p w:rsidR="007D3771" w:rsidRDefault="007D3771" w:rsidP="006D08B6">
      <w:pPr>
        <w:numPr>
          <w:ilvl w:val="0"/>
          <w:numId w:val="16"/>
        </w:numPr>
        <w:spacing w:line="480" w:lineRule="exact"/>
        <w:jc w:val="both"/>
        <w:rPr>
          <w:rFonts w:ascii="標楷體" w:eastAsia="標楷體" w:hAnsi="標楷體"/>
          <w:sz w:val="32"/>
          <w:szCs w:val="32"/>
        </w:rPr>
      </w:pPr>
      <w:r w:rsidRPr="007D3771">
        <w:rPr>
          <w:rFonts w:ascii="標楷體" w:eastAsia="標楷體" w:hAnsi="標楷體" w:hint="eastAsia"/>
          <w:sz w:val="32"/>
          <w:szCs w:val="32"/>
        </w:rPr>
        <w:t>重大災害事件，冒險犯難，搶救本行財物，減免損失，具顯著功績者。</w:t>
      </w:r>
    </w:p>
    <w:p w:rsidR="007D3771" w:rsidRDefault="007D3771" w:rsidP="006D08B6">
      <w:pPr>
        <w:numPr>
          <w:ilvl w:val="0"/>
          <w:numId w:val="16"/>
        </w:numPr>
        <w:spacing w:line="480" w:lineRule="exact"/>
        <w:jc w:val="both"/>
        <w:rPr>
          <w:rFonts w:ascii="標楷體" w:eastAsia="標楷體" w:hAnsi="標楷體"/>
          <w:sz w:val="32"/>
          <w:szCs w:val="32"/>
        </w:rPr>
      </w:pPr>
      <w:r w:rsidRPr="007D3771">
        <w:rPr>
          <w:rFonts w:ascii="標楷體" w:eastAsia="標楷體" w:hAnsi="標楷體" w:hint="eastAsia"/>
          <w:sz w:val="32"/>
          <w:szCs w:val="32"/>
        </w:rPr>
        <w:t>適時消弭意外事件或重大變故之發生，或已發生能予控制，使本行免遭損害者。</w:t>
      </w:r>
    </w:p>
    <w:p w:rsidR="007D3771" w:rsidRPr="007D3771" w:rsidRDefault="007D3771" w:rsidP="006D08B6">
      <w:pPr>
        <w:numPr>
          <w:ilvl w:val="0"/>
          <w:numId w:val="16"/>
        </w:numPr>
        <w:spacing w:line="480" w:lineRule="exact"/>
        <w:jc w:val="both"/>
        <w:rPr>
          <w:rFonts w:eastAsia="標楷體"/>
          <w:sz w:val="32"/>
        </w:rPr>
      </w:pPr>
      <w:r w:rsidRPr="007D3771">
        <w:rPr>
          <w:rFonts w:ascii="標楷體" w:eastAsia="標楷體" w:hAnsi="標楷體" w:hint="eastAsia"/>
          <w:sz w:val="32"/>
          <w:szCs w:val="32"/>
        </w:rPr>
        <w:t>因業務特殊需求辦理專業人員公開甄選錄取，經試用至少半年，工作表現優異者。</w:t>
      </w:r>
    </w:p>
    <w:p w:rsidR="00147327" w:rsidRPr="007D3771" w:rsidRDefault="007D3771" w:rsidP="006D08B6">
      <w:pPr>
        <w:numPr>
          <w:ilvl w:val="0"/>
          <w:numId w:val="16"/>
        </w:numPr>
        <w:spacing w:line="480" w:lineRule="exact"/>
        <w:jc w:val="both"/>
        <w:rPr>
          <w:rFonts w:eastAsia="標楷體"/>
          <w:sz w:val="32"/>
        </w:rPr>
      </w:pPr>
      <w:r w:rsidRPr="007D3771">
        <w:rPr>
          <w:rFonts w:ascii="標楷體" w:eastAsia="標楷體" w:hAnsi="標楷體" w:hint="eastAsia"/>
          <w:sz w:val="32"/>
          <w:szCs w:val="32"/>
        </w:rPr>
        <w:t>其他特殊或重大優良事蹟有具體事實表現者。</w:t>
      </w:r>
    </w:p>
    <w:p w:rsidR="00147327" w:rsidRDefault="00147327" w:rsidP="006D08B6">
      <w:pPr>
        <w:spacing w:line="480" w:lineRule="exact"/>
        <w:ind w:left="1296" w:hangingChars="405" w:hanging="1296"/>
        <w:jc w:val="both"/>
        <w:textDirection w:val="lrTbV"/>
        <w:rPr>
          <w:rFonts w:ascii="標楷體" w:eastAsia="標楷體"/>
          <w:sz w:val="32"/>
        </w:rPr>
      </w:pPr>
      <w:r>
        <w:rPr>
          <w:rFonts w:ascii="標楷體" w:eastAsia="標楷體" w:hint="eastAsia"/>
          <w:sz w:val="32"/>
        </w:rPr>
        <w:t>第七條</w:t>
      </w:r>
      <w:r w:rsidR="007D3771">
        <w:rPr>
          <w:rFonts w:ascii="標楷體" w:eastAsia="標楷體" w:hint="eastAsia"/>
          <w:sz w:val="32"/>
        </w:rPr>
        <w:t xml:space="preserve">  </w:t>
      </w:r>
      <w:r>
        <w:rPr>
          <w:rFonts w:ascii="標楷體" w:eastAsia="標楷體" w:hint="eastAsia"/>
          <w:sz w:val="32"/>
        </w:rPr>
        <w:t>本行各單位主管保荐行員晉升，應本為行舉才之旨，慎重辦理；經核定晉升人員如有下列情事之一者，推荐人應負荐舉不實之責任，視情節提報總行人事評議委員會核議：</w:t>
      </w:r>
    </w:p>
    <w:p w:rsidR="007D3771" w:rsidRDefault="00147327" w:rsidP="006D08B6">
      <w:pPr>
        <w:numPr>
          <w:ilvl w:val="0"/>
          <w:numId w:val="17"/>
        </w:numPr>
        <w:spacing w:line="480" w:lineRule="exact"/>
        <w:jc w:val="both"/>
        <w:textDirection w:val="lrTbV"/>
        <w:rPr>
          <w:rFonts w:ascii="標楷體" w:eastAsia="標楷體"/>
          <w:sz w:val="32"/>
        </w:rPr>
      </w:pPr>
      <w:r>
        <w:rPr>
          <w:rFonts w:ascii="標楷體" w:eastAsia="標楷體" w:hint="eastAsia"/>
          <w:sz w:val="32"/>
        </w:rPr>
        <w:t>於當次晉升之前，因隱匿品德上之重大瑕疵、業務重大疏失或其他不良情事於嗣後發覺者。</w:t>
      </w:r>
    </w:p>
    <w:p w:rsidR="00147327" w:rsidRDefault="00147327" w:rsidP="006D08B6">
      <w:pPr>
        <w:numPr>
          <w:ilvl w:val="0"/>
          <w:numId w:val="17"/>
        </w:numPr>
        <w:spacing w:line="480" w:lineRule="exact"/>
        <w:jc w:val="both"/>
        <w:textDirection w:val="lrTbV"/>
        <w:rPr>
          <w:rFonts w:ascii="標楷體" w:eastAsia="標楷體"/>
          <w:sz w:val="32"/>
        </w:rPr>
      </w:pPr>
      <w:r>
        <w:rPr>
          <w:rFonts w:ascii="標楷體" w:eastAsia="標楷體" w:hint="eastAsia"/>
          <w:sz w:val="32"/>
        </w:rPr>
        <w:t>無法勝任晉升後之職務者。</w:t>
      </w:r>
    </w:p>
    <w:p w:rsidR="00147327" w:rsidRDefault="00147327" w:rsidP="006D08B6">
      <w:pPr>
        <w:spacing w:line="480" w:lineRule="exact"/>
        <w:ind w:left="1280" w:hangingChars="400" w:hanging="1280"/>
        <w:jc w:val="both"/>
        <w:rPr>
          <w:rFonts w:ascii="標楷體" w:eastAsia="標楷體"/>
          <w:sz w:val="32"/>
        </w:rPr>
      </w:pPr>
      <w:r>
        <w:rPr>
          <w:rFonts w:ascii="標楷體" w:eastAsia="標楷體" w:hint="eastAsia"/>
          <w:sz w:val="32"/>
        </w:rPr>
        <w:t>第八條</w:t>
      </w:r>
      <w:r w:rsidR="00FE6FD5">
        <w:rPr>
          <w:rFonts w:ascii="標楷體" w:eastAsia="標楷體" w:hint="eastAsia"/>
          <w:sz w:val="32"/>
        </w:rPr>
        <w:t xml:space="preserve">  </w:t>
      </w:r>
      <w:r>
        <w:rPr>
          <w:rFonts w:ascii="標楷體" w:eastAsia="標楷體" w:hint="eastAsia"/>
          <w:sz w:val="32"/>
        </w:rPr>
        <w:t>晉升人員，其原支薪點高於晉升職等之第一級薪點者，除換敘高一職等相當薪點外，得予提敘一級；其原支薪點低於晉升職等第一級薪點在一級差以上者，換敘第一級薪點，不再提敘一級。</w:t>
      </w:r>
    </w:p>
    <w:p w:rsidR="00147327" w:rsidRDefault="00147327" w:rsidP="006D08B6">
      <w:pPr>
        <w:spacing w:line="480" w:lineRule="exact"/>
        <w:ind w:left="1280" w:hangingChars="400" w:hanging="1280"/>
        <w:jc w:val="both"/>
        <w:textDirection w:val="lrTbV"/>
        <w:rPr>
          <w:rFonts w:ascii="標楷體" w:eastAsia="標楷體"/>
          <w:sz w:val="32"/>
        </w:rPr>
      </w:pPr>
      <w:r>
        <w:rPr>
          <w:rFonts w:ascii="標楷體" w:eastAsia="標楷體" w:hint="eastAsia"/>
          <w:sz w:val="32"/>
        </w:rPr>
        <w:t>第九條</w:t>
      </w:r>
      <w:r w:rsidR="00FE6FD5">
        <w:rPr>
          <w:rFonts w:ascii="標楷體" w:eastAsia="標楷體" w:hint="eastAsia"/>
          <w:sz w:val="32"/>
        </w:rPr>
        <w:t xml:space="preserve">  </w:t>
      </w:r>
      <w:r>
        <w:rPr>
          <w:rFonts w:ascii="標楷體" w:eastAsia="標楷體" w:hint="eastAsia"/>
          <w:sz w:val="32"/>
        </w:rPr>
        <w:t>現職人員如有下列情事之一者，得由服務單位函報、</w:t>
      </w:r>
      <w:r w:rsidR="00A504D3">
        <w:rPr>
          <w:rFonts w:ascii="標楷體" w:eastAsia="標楷體" w:hint="eastAsia"/>
          <w:sz w:val="32"/>
        </w:rPr>
        <w:t>人力資源處</w:t>
      </w:r>
      <w:r>
        <w:rPr>
          <w:rFonts w:ascii="標楷體" w:eastAsia="標楷體" w:hint="eastAsia"/>
          <w:sz w:val="32"/>
        </w:rPr>
        <w:t>簽報，或經董事會稽核</w:t>
      </w:r>
      <w:r w:rsidR="00393386">
        <w:rPr>
          <w:rFonts w:ascii="標楷體" w:eastAsia="標楷體" w:hint="eastAsia"/>
          <w:sz w:val="32"/>
        </w:rPr>
        <w:t>處</w:t>
      </w:r>
      <w:r>
        <w:rPr>
          <w:rFonts w:ascii="標楷體" w:eastAsia="標楷體" w:hint="eastAsia"/>
          <w:sz w:val="32"/>
        </w:rPr>
        <w:t>建議，提請總行人事評議委員會審議後，經依規定程序簽陳核定改派為非主管職務，或依法令規定予以降調：</w:t>
      </w:r>
    </w:p>
    <w:p w:rsidR="00FE6FD5" w:rsidRDefault="00147327" w:rsidP="006D08B6">
      <w:pPr>
        <w:numPr>
          <w:ilvl w:val="0"/>
          <w:numId w:val="18"/>
        </w:numPr>
        <w:spacing w:line="480" w:lineRule="exact"/>
        <w:jc w:val="both"/>
        <w:textDirection w:val="lrTbV"/>
        <w:rPr>
          <w:rFonts w:ascii="標楷體" w:eastAsia="標楷體"/>
          <w:sz w:val="32"/>
        </w:rPr>
      </w:pPr>
      <w:r>
        <w:rPr>
          <w:rFonts w:ascii="標楷體" w:eastAsia="標楷體" w:hint="eastAsia"/>
          <w:sz w:val="32"/>
        </w:rPr>
        <w:t>處理業務偏差錯誤、執行業務因故意或重大過失，導致嚴重不良後果者。</w:t>
      </w:r>
    </w:p>
    <w:p w:rsidR="00FE6FD5" w:rsidRDefault="00147327" w:rsidP="006D08B6">
      <w:pPr>
        <w:numPr>
          <w:ilvl w:val="0"/>
          <w:numId w:val="18"/>
        </w:numPr>
        <w:spacing w:line="480" w:lineRule="exact"/>
        <w:jc w:val="both"/>
        <w:textDirection w:val="lrTbV"/>
        <w:rPr>
          <w:rFonts w:ascii="標楷體" w:eastAsia="標楷體"/>
          <w:sz w:val="32"/>
        </w:rPr>
      </w:pPr>
      <w:r>
        <w:rPr>
          <w:rFonts w:ascii="標楷體" w:eastAsia="標楷體" w:hint="eastAsia"/>
          <w:sz w:val="32"/>
        </w:rPr>
        <w:t>違反紀律或言行不檢，致損害本行聲譽，情節重大者。</w:t>
      </w:r>
    </w:p>
    <w:p w:rsidR="00FE6FD5" w:rsidRDefault="00147327" w:rsidP="006D08B6">
      <w:pPr>
        <w:numPr>
          <w:ilvl w:val="0"/>
          <w:numId w:val="18"/>
        </w:numPr>
        <w:spacing w:line="480" w:lineRule="exact"/>
        <w:jc w:val="both"/>
        <w:textDirection w:val="lrTbV"/>
        <w:rPr>
          <w:rFonts w:ascii="標楷體" w:eastAsia="標楷體"/>
          <w:sz w:val="32"/>
        </w:rPr>
      </w:pPr>
      <w:r>
        <w:rPr>
          <w:rFonts w:ascii="標楷體" w:eastAsia="標楷體" w:hint="eastAsia"/>
          <w:sz w:val="32"/>
        </w:rPr>
        <w:t>執行本行政策不力，或怠忽職責，或洩漏職務上之機密，使本行遭受重大損失或釀成嚴重糾紛者。</w:t>
      </w:r>
    </w:p>
    <w:p w:rsidR="00FE6FD5" w:rsidRDefault="00147327" w:rsidP="006D08B6">
      <w:pPr>
        <w:numPr>
          <w:ilvl w:val="0"/>
          <w:numId w:val="18"/>
        </w:numPr>
        <w:spacing w:line="480" w:lineRule="exact"/>
        <w:jc w:val="both"/>
        <w:textDirection w:val="lrTbV"/>
        <w:rPr>
          <w:rFonts w:ascii="標楷體" w:eastAsia="標楷體"/>
          <w:sz w:val="32"/>
        </w:rPr>
      </w:pPr>
      <w:r>
        <w:rPr>
          <w:rFonts w:ascii="標楷體" w:eastAsia="標楷體" w:hint="eastAsia"/>
          <w:sz w:val="32"/>
        </w:rPr>
        <w:lastRenderedPageBreak/>
        <w:t>發生重大事故，遲延或隱匿不報，致事態擴大，使本行遭受損失者。</w:t>
      </w:r>
    </w:p>
    <w:p w:rsidR="00FE6FD5" w:rsidRDefault="00147327" w:rsidP="006D08B6">
      <w:pPr>
        <w:numPr>
          <w:ilvl w:val="0"/>
          <w:numId w:val="18"/>
        </w:numPr>
        <w:spacing w:line="480" w:lineRule="exact"/>
        <w:jc w:val="both"/>
        <w:textDirection w:val="lrTbV"/>
        <w:rPr>
          <w:rFonts w:ascii="標楷體" w:eastAsia="標楷體"/>
          <w:sz w:val="32"/>
        </w:rPr>
      </w:pPr>
      <w:r>
        <w:rPr>
          <w:rFonts w:ascii="標楷體" w:eastAsia="標楷體" w:hint="eastAsia"/>
          <w:sz w:val="32"/>
        </w:rPr>
        <w:t>對緊急重大事件，藉故推諉規避，造成本行嚴重損失者。</w:t>
      </w:r>
    </w:p>
    <w:p w:rsidR="00147327" w:rsidRDefault="00147327" w:rsidP="006D08B6">
      <w:pPr>
        <w:numPr>
          <w:ilvl w:val="0"/>
          <w:numId w:val="18"/>
        </w:numPr>
        <w:spacing w:line="480" w:lineRule="exact"/>
        <w:jc w:val="both"/>
        <w:textDirection w:val="lrTbV"/>
        <w:rPr>
          <w:rFonts w:ascii="標楷體" w:eastAsia="標楷體"/>
          <w:sz w:val="32"/>
        </w:rPr>
      </w:pPr>
      <w:r>
        <w:rPr>
          <w:rFonts w:ascii="標楷體" w:eastAsia="標楷體" w:hint="eastAsia"/>
          <w:sz w:val="32"/>
        </w:rPr>
        <w:t>利用職務不當得利或與客戶發生金錢往來，損及本行聲譽，情節重大者。</w:t>
      </w:r>
    </w:p>
    <w:p w:rsidR="00147327" w:rsidRPr="00134721" w:rsidRDefault="00B566A9" w:rsidP="006D08B6">
      <w:pPr>
        <w:pStyle w:val="a9"/>
        <w:spacing w:line="480" w:lineRule="exact"/>
        <w:ind w:left="1285" w:hangingChars="400" w:hanging="1280"/>
        <w:rPr>
          <w:spacing w:val="-8"/>
          <w:szCs w:val="32"/>
        </w:rPr>
      </w:pPr>
      <w:r>
        <w:rPr>
          <w:rFonts w:hint="eastAsia"/>
        </w:rPr>
        <w:t>第十條</w:t>
      </w:r>
      <w:r w:rsidR="00FE6FD5">
        <w:rPr>
          <w:rFonts w:hint="eastAsia"/>
        </w:rPr>
        <w:t xml:space="preserve">  </w:t>
      </w:r>
      <w:r w:rsidR="00147327" w:rsidRPr="00134721">
        <w:rPr>
          <w:rFonts w:hint="eastAsia"/>
          <w:spacing w:val="-8"/>
          <w:szCs w:val="32"/>
        </w:rPr>
        <w:t>參與甄審作業人員，對於辦理情形，應嚴守規定，不得洩密，如有違反，視其情節予以懲處。</w:t>
      </w:r>
    </w:p>
    <w:p w:rsidR="00FA7074" w:rsidRDefault="00147327" w:rsidP="00745587">
      <w:pPr>
        <w:spacing w:line="480" w:lineRule="exact"/>
        <w:ind w:left="1664" w:hangingChars="520" w:hanging="1664"/>
        <w:jc w:val="both"/>
        <w:rPr>
          <w:rFonts w:ascii="標楷體" w:eastAsia="標楷體"/>
          <w:sz w:val="20"/>
        </w:rPr>
      </w:pPr>
      <w:r>
        <w:rPr>
          <w:rFonts w:eastAsia="標楷體" w:hint="eastAsia"/>
          <w:sz w:val="32"/>
        </w:rPr>
        <w:t>第十一條</w:t>
      </w:r>
      <w:r w:rsidR="00FE6FD5">
        <w:rPr>
          <w:rFonts w:eastAsia="標楷體" w:hint="eastAsia"/>
          <w:sz w:val="32"/>
        </w:rPr>
        <w:t xml:space="preserve">  </w:t>
      </w:r>
      <w:r>
        <w:rPr>
          <w:rFonts w:ascii="標楷體" w:eastAsia="標楷體" w:hint="eastAsia"/>
          <w:sz w:val="32"/>
        </w:rPr>
        <w:t>本辦法經常務董事會或董事會通過後實施；修正時亦同。</w:t>
      </w:r>
    </w:p>
    <w:sectPr w:rsidR="00FA7074" w:rsidSect="00B20430">
      <w:footerReference w:type="even" r:id="rId7"/>
      <w:footerReference w:type="default" r:id="rId8"/>
      <w:pgSz w:w="11906" w:h="16838" w:code="9"/>
      <w:pgMar w:top="1134" w:right="1361" w:bottom="851" w:left="1361" w:header="68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C69" w:rsidRDefault="00C74C69" w:rsidP="00612097">
      <w:r>
        <w:separator/>
      </w:r>
    </w:p>
  </w:endnote>
  <w:endnote w:type="continuationSeparator" w:id="0">
    <w:p w:rsidR="00C74C69" w:rsidRDefault="00C74C69" w:rsidP="0061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3">
    <w:panose1 w:val="03000309000000000000"/>
    <w:charset w:val="88"/>
    <w:family w:val="script"/>
    <w:pitch w:val="fixed"/>
    <w:sig w:usb0="80000001" w:usb1="28091800" w:usb2="00000016" w:usb3="00000000" w:csb0="00100000" w:csb1="00000000"/>
  </w:font>
  <w:font w:name="Bodoni BT">
    <w:altName w:val="Times New Roman"/>
    <w:charset w:val="00"/>
    <w:family w:val="roman"/>
    <w:pitch w:val="variable"/>
    <w:sig w:usb0="00000007" w:usb1="00000000" w:usb2="00000000" w:usb3="00000000" w:csb0="00000011" w:csb1="00000000"/>
  </w:font>
  <w:font w:name="細明體">
    <w:altName w:val="MingLiU"/>
    <w:panose1 w:val="02020509000000000000"/>
    <w:charset w:val="88"/>
    <w:family w:val="modern"/>
    <w:pitch w:val="fixed"/>
    <w:sig w:usb0="A00002FF" w:usb1="28CFFCFA" w:usb2="00000016" w:usb3="00000000" w:csb0="00100001" w:csb1="00000000"/>
  </w:font>
  <w:font w:name="Courier 10cpi">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87" w:rsidRDefault="007421B2">
    <w:pPr>
      <w:pStyle w:val="a6"/>
      <w:framePr w:wrap="around" w:vAnchor="text" w:hAnchor="margin" w:xAlign="center" w:y="1"/>
      <w:rPr>
        <w:rStyle w:val="a7"/>
      </w:rPr>
    </w:pPr>
    <w:r>
      <w:rPr>
        <w:rStyle w:val="a7"/>
      </w:rPr>
      <w:fldChar w:fldCharType="begin"/>
    </w:r>
    <w:r w:rsidR="00745587">
      <w:rPr>
        <w:rStyle w:val="a7"/>
      </w:rPr>
      <w:instrText xml:space="preserve">PAGE  </w:instrText>
    </w:r>
    <w:r>
      <w:rPr>
        <w:rStyle w:val="a7"/>
      </w:rPr>
      <w:fldChar w:fldCharType="separate"/>
    </w:r>
    <w:r w:rsidR="00745587">
      <w:rPr>
        <w:rStyle w:val="a7"/>
        <w:noProof/>
      </w:rPr>
      <w:t>5</w:t>
    </w:r>
    <w:r>
      <w:rPr>
        <w:rStyle w:val="a7"/>
      </w:rPr>
      <w:fldChar w:fldCharType="end"/>
    </w:r>
  </w:p>
  <w:p w:rsidR="00745587" w:rsidRDefault="0074558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87" w:rsidRPr="005F49B9" w:rsidRDefault="00745587" w:rsidP="005F49B9">
    <w:pPr>
      <w:pStyle w:val="a6"/>
      <w:jc w:val="center"/>
      <w:rPr>
        <w:rFonts w:ascii="標楷體" w:eastAsia="標楷體" w:hAnsi="標楷體"/>
      </w:rPr>
    </w:pPr>
    <w:r w:rsidRPr="005F49B9">
      <w:rPr>
        <w:rFonts w:ascii="標楷體" w:eastAsia="標楷體" w:hAnsi="標楷體" w:hint="eastAsia"/>
      </w:rPr>
      <w:t>第</w:t>
    </w:r>
    <w:r w:rsidR="007421B2">
      <w:rPr>
        <w:rFonts w:ascii="標楷體" w:eastAsia="標楷體" w:hAnsi="標楷體"/>
      </w:rPr>
      <w:fldChar w:fldCharType="begin"/>
    </w:r>
    <w:r>
      <w:rPr>
        <w:rFonts w:ascii="標楷體" w:eastAsia="標楷體" w:hAnsi="標楷體"/>
      </w:rPr>
      <w:instrText xml:space="preserve"> PAGE  \* Arabic  \* MERGEFORMAT </w:instrText>
    </w:r>
    <w:r w:rsidR="007421B2">
      <w:rPr>
        <w:rFonts w:ascii="標楷體" w:eastAsia="標楷體" w:hAnsi="標楷體"/>
      </w:rPr>
      <w:fldChar w:fldCharType="separate"/>
    </w:r>
    <w:r w:rsidR="00602337">
      <w:rPr>
        <w:rFonts w:ascii="標楷體" w:eastAsia="標楷體" w:hAnsi="標楷體"/>
        <w:noProof/>
      </w:rPr>
      <w:t>4</w:t>
    </w:r>
    <w:r w:rsidR="007421B2">
      <w:rPr>
        <w:rFonts w:ascii="標楷體" w:eastAsia="標楷體" w:hAnsi="標楷體"/>
      </w:rPr>
      <w:fldChar w:fldCharType="end"/>
    </w:r>
    <w:r w:rsidRPr="005F49B9">
      <w:rPr>
        <w:rFonts w:ascii="標楷體" w:eastAsia="標楷體" w:hAnsi="標楷體" w:hint="eastAsia"/>
      </w:rPr>
      <w:t>頁/共</w:t>
    </w:r>
    <w:fldSimple w:instr=" SECTIONPAGES  \* Arabic  \* MERGEFORMAT ">
      <w:r w:rsidR="00602337" w:rsidRPr="00602337">
        <w:rPr>
          <w:rFonts w:ascii="標楷體" w:eastAsia="標楷體" w:hAnsi="標楷體"/>
          <w:noProof/>
        </w:rPr>
        <w:t>6</w:t>
      </w:r>
    </w:fldSimple>
    <w:r w:rsidRPr="005F49B9">
      <w:rPr>
        <w:rFonts w:ascii="標楷體" w:eastAsia="標楷體" w:hAns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C69" w:rsidRDefault="00C74C69" w:rsidP="00612097">
      <w:r>
        <w:separator/>
      </w:r>
    </w:p>
  </w:footnote>
  <w:footnote w:type="continuationSeparator" w:id="0">
    <w:p w:rsidR="00C74C69" w:rsidRDefault="00C74C69" w:rsidP="00612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7386"/>
    <w:multiLevelType w:val="hybridMultilevel"/>
    <w:tmpl w:val="F83E2F48"/>
    <w:lvl w:ilvl="0" w:tplc="07CEBDA6">
      <w:start w:val="1"/>
      <w:numFmt w:val="taiwaneseCountingThousand"/>
      <w:lvlText w:val="%1、"/>
      <w:lvlJc w:val="left"/>
      <w:pPr>
        <w:tabs>
          <w:tab w:val="num" w:pos="2004"/>
        </w:tabs>
        <w:ind w:left="2004" w:hanging="720"/>
      </w:pPr>
      <w:rPr>
        <w:rFonts w:hint="default"/>
      </w:rPr>
    </w:lvl>
    <w:lvl w:ilvl="1" w:tplc="04090019" w:tentative="1">
      <w:start w:val="1"/>
      <w:numFmt w:val="ideographTraditional"/>
      <w:lvlText w:val="%2、"/>
      <w:lvlJc w:val="left"/>
      <w:pPr>
        <w:tabs>
          <w:tab w:val="num" w:pos="2244"/>
        </w:tabs>
        <w:ind w:left="2244" w:hanging="480"/>
      </w:pPr>
    </w:lvl>
    <w:lvl w:ilvl="2" w:tplc="0409001B" w:tentative="1">
      <w:start w:val="1"/>
      <w:numFmt w:val="lowerRoman"/>
      <w:lvlText w:val="%3."/>
      <w:lvlJc w:val="right"/>
      <w:pPr>
        <w:tabs>
          <w:tab w:val="num" w:pos="2724"/>
        </w:tabs>
        <w:ind w:left="2724" w:hanging="480"/>
      </w:pPr>
    </w:lvl>
    <w:lvl w:ilvl="3" w:tplc="0409000F" w:tentative="1">
      <w:start w:val="1"/>
      <w:numFmt w:val="decimal"/>
      <w:lvlText w:val="%4."/>
      <w:lvlJc w:val="left"/>
      <w:pPr>
        <w:tabs>
          <w:tab w:val="num" w:pos="3204"/>
        </w:tabs>
        <w:ind w:left="3204" w:hanging="480"/>
      </w:pPr>
    </w:lvl>
    <w:lvl w:ilvl="4" w:tplc="04090019" w:tentative="1">
      <w:start w:val="1"/>
      <w:numFmt w:val="ideographTraditional"/>
      <w:lvlText w:val="%5、"/>
      <w:lvlJc w:val="left"/>
      <w:pPr>
        <w:tabs>
          <w:tab w:val="num" w:pos="3684"/>
        </w:tabs>
        <w:ind w:left="3684" w:hanging="480"/>
      </w:pPr>
    </w:lvl>
    <w:lvl w:ilvl="5" w:tplc="0409001B" w:tentative="1">
      <w:start w:val="1"/>
      <w:numFmt w:val="lowerRoman"/>
      <w:lvlText w:val="%6."/>
      <w:lvlJc w:val="right"/>
      <w:pPr>
        <w:tabs>
          <w:tab w:val="num" w:pos="4164"/>
        </w:tabs>
        <w:ind w:left="4164" w:hanging="480"/>
      </w:pPr>
    </w:lvl>
    <w:lvl w:ilvl="6" w:tplc="0409000F" w:tentative="1">
      <w:start w:val="1"/>
      <w:numFmt w:val="decimal"/>
      <w:lvlText w:val="%7."/>
      <w:lvlJc w:val="left"/>
      <w:pPr>
        <w:tabs>
          <w:tab w:val="num" w:pos="4644"/>
        </w:tabs>
        <w:ind w:left="4644" w:hanging="480"/>
      </w:pPr>
    </w:lvl>
    <w:lvl w:ilvl="7" w:tplc="04090019" w:tentative="1">
      <w:start w:val="1"/>
      <w:numFmt w:val="ideographTraditional"/>
      <w:lvlText w:val="%8、"/>
      <w:lvlJc w:val="left"/>
      <w:pPr>
        <w:tabs>
          <w:tab w:val="num" w:pos="5124"/>
        </w:tabs>
        <w:ind w:left="5124" w:hanging="480"/>
      </w:pPr>
    </w:lvl>
    <w:lvl w:ilvl="8" w:tplc="0409001B" w:tentative="1">
      <w:start w:val="1"/>
      <w:numFmt w:val="lowerRoman"/>
      <w:lvlText w:val="%9."/>
      <w:lvlJc w:val="right"/>
      <w:pPr>
        <w:tabs>
          <w:tab w:val="num" w:pos="5604"/>
        </w:tabs>
        <w:ind w:left="5604" w:hanging="480"/>
      </w:pPr>
    </w:lvl>
  </w:abstractNum>
  <w:abstractNum w:abstractNumId="1" w15:restartNumberingAfterBreak="0">
    <w:nsid w:val="062D2B07"/>
    <w:multiLevelType w:val="hybridMultilevel"/>
    <w:tmpl w:val="BC20923C"/>
    <w:lvl w:ilvl="0" w:tplc="8A78B5E6">
      <w:start w:val="1"/>
      <w:numFmt w:val="taiwaneseCountingThousand"/>
      <w:lvlText w:val="第%1條"/>
      <w:lvlJc w:val="left"/>
      <w:pPr>
        <w:tabs>
          <w:tab w:val="num" w:pos="725"/>
        </w:tabs>
        <w:ind w:left="725" w:hanging="720"/>
      </w:pPr>
      <w:rPr>
        <w:rFonts w:hint="eastAsia"/>
      </w:rPr>
    </w:lvl>
    <w:lvl w:ilvl="1" w:tplc="04090019" w:tentative="1">
      <w:start w:val="1"/>
      <w:numFmt w:val="ideographTraditional"/>
      <w:lvlText w:val="%2、"/>
      <w:lvlJc w:val="left"/>
      <w:pPr>
        <w:tabs>
          <w:tab w:val="num" w:pos="965"/>
        </w:tabs>
        <w:ind w:left="965" w:hanging="480"/>
      </w:pPr>
    </w:lvl>
    <w:lvl w:ilvl="2" w:tplc="0409001B" w:tentative="1">
      <w:start w:val="1"/>
      <w:numFmt w:val="lowerRoman"/>
      <w:lvlText w:val="%3."/>
      <w:lvlJc w:val="right"/>
      <w:pPr>
        <w:tabs>
          <w:tab w:val="num" w:pos="1445"/>
        </w:tabs>
        <w:ind w:left="1445" w:hanging="480"/>
      </w:pPr>
    </w:lvl>
    <w:lvl w:ilvl="3" w:tplc="0409000F" w:tentative="1">
      <w:start w:val="1"/>
      <w:numFmt w:val="decimal"/>
      <w:lvlText w:val="%4."/>
      <w:lvlJc w:val="left"/>
      <w:pPr>
        <w:tabs>
          <w:tab w:val="num" w:pos="1925"/>
        </w:tabs>
        <w:ind w:left="1925" w:hanging="480"/>
      </w:pPr>
    </w:lvl>
    <w:lvl w:ilvl="4" w:tplc="04090019" w:tentative="1">
      <w:start w:val="1"/>
      <w:numFmt w:val="ideographTraditional"/>
      <w:lvlText w:val="%5、"/>
      <w:lvlJc w:val="left"/>
      <w:pPr>
        <w:tabs>
          <w:tab w:val="num" w:pos="2405"/>
        </w:tabs>
        <w:ind w:left="2405" w:hanging="480"/>
      </w:pPr>
    </w:lvl>
    <w:lvl w:ilvl="5" w:tplc="0409001B" w:tentative="1">
      <w:start w:val="1"/>
      <w:numFmt w:val="lowerRoman"/>
      <w:lvlText w:val="%6."/>
      <w:lvlJc w:val="right"/>
      <w:pPr>
        <w:tabs>
          <w:tab w:val="num" w:pos="2885"/>
        </w:tabs>
        <w:ind w:left="2885" w:hanging="480"/>
      </w:pPr>
    </w:lvl>
    <w:lvl w:ilvl="6" w:tplc="0409000F" w:tentative="1">
      <w:start w:val="1"/>
      <w:numFmt w:val="decimal"/>
      <w:lvlText w:val="%7."/>
      <w:lvlJc w:val="left"/>
      <w:pPr>
        <w:tabs>
          <w:tab w:val="num" w:pos="3365"/>
        </w:tabs>
        <w:ind w:left="3365" w:hanging="480"/>
      </w:pPr>
    </w:lvl>
    <w:lvl w:ilvl="7" w:tplc="04090019" w:tentative="1">
      <w:start w:val="1"/>
      <w:numFmt w:val="ideographTraditional"/>
      <w:lvlText w:val="%8、"/>
      <w:lvlJc w:val="left"/>
      <w:pPr>
        <w:tabs>
          <w:tab w:val="num" w:pos="3845"/>
        </w:tabs>
        <w:ind w:left="3845" w:hanging="480"/>
      </w:pPr>
    </w:lvl>
    <w:lvl w:ilvl="8" w:tplc="0409001B" w:tentative="1">
      <w:start w:val="1"/>
      <w:numFmt w:val="lowerRoman"/>
      <w:lvlText w:val="%9."/>
      <w:lvlJc w:val="right"/>
      <w:pPr>
        <w:tabs>
          <w:tab w:val="num" w:pos="4325"/>
        </w:tabs>
        <w:ind w:left="4325" w:hanging="480"/>
      </w:pPr>
    </w:lvl>
  </w:abstractNum>
  <w:abstractNum w:abstractNumId="2" w15:restartNumberingAfterBreak="0">
    <w:nsid w:val="18005C07"/>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203F4691"/>
    <w:multiLevelType w:val="hybridMultilevel"/>
    <w:tmpl w:val="A99C7228"/>
    <w:lvl w:ilvl="0" w:tplc="A7760D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B76CE0"/>
    <w:multiLevelType w:val="singleLevel"/>
    <w:tmpl w:val="26EC927E"/>
    <w:lvl w:ilvl="0">
      <w:start w:val="1"/>
      <w:numFmt w:val="taiwaneseCountingThousand"/>
      <w:lvlText w:val="%1、"/>
      <w:lvlJc w:val="left"/>
      <w:pPr>
        <w:tabs>
          <w:tab w:val="num" w:pos="1398"/>
        </w:tabs>
        <w:ind w:left="635" w:hanging="317"/>
      </w:pPr>
      <w:rPr>
        <w:rFonts w:ascii="標楷體" w:eastAsia="標楷體" w:hint="eastAsia"/>
      </w:rPr>
    </w:lvl>
  </w:abstractNum>
  <w:abstractNum w:abstractNumId="5" w15:restartNumberingAfterBreak="0">
    <w:nsid w:val="2DF14268"/>
    <w:multiLevelType w:val="hybridMultilevel"/>
    <w:tmpl w:val="4414243E"/>
    <w:lvl w:ilvl="0" w:tplc="A732B3A4">
      <w:start w:val="10"/>
      <w:numFmt w:val="taiwaneseCountingThousand"/>
      <w:lvlText w:val="第%1條"/>
      <w:lvlJc w:val="left"/>
      <w:pPr>
        <w:tabs>
          <w:tab w:val="num" w:pos="1200"/>
        </w:tabs>
        <w:ind w:left="1200" w:hanging="12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FEC2589"/>
    <w:multiLevelType w:val="hybridMultilevel"/>
    <w:tmpl w:val="DF28B0C6"/>
    <w:lvl w:ilvl="0" w:tplc="03680FBC">
      <w:start w:val="1"/>
      <w:numFmt w:val="taiwaneseCountingThousand"/>
      <w:lvlText w:val="%1、"/>
      <w:lvlJc w:val="left"/>
      <w:pPr>
        <w:tabs>
          <w:tab w:val="num" w:pos="2004"/>
        </w:tabs>
        <w:ind w:left="2004" w:hanging="720"/>
      </w:pPr>
      <w:rPr>
        <w:rFonts w:hint="default"/>
      </w:rPr>
    </w:lvl>
    <w:lvl w:ilvl="1" w:tplc="04090019" w:tentative="1">
      <w:start w:val="1"/>
      <w:numFmt w:val="ideographTraditional"/>
      <w:lvlText w:val="%2、"/>
      <w:lvlJc w:val="left"/>
      <w:pPr>
        <w:tabs>
          <w:tab w:val="num" w:pos="2244"/>
        </w:tabs>
        <w:ind w:left="2244" w:hanging="480"/>
      </w:pPr>
    </w:lvl>
    <w:lvl w:ilvl="2" w:tplc="0409001B" w:tentative="1">
      <w:start w:val="1"/>
      <w:numFmt w:val="lowerRoman"/>
      <w:lvlText w:val="%3."/>
      <w:lvlJc w:val="right"/>
      <w:pPr>
        <w:tabs>
          <w:tab w:val="num" w:pos="2724"/>
        </w:tabs>
        <w:ind w:left="2724" w:hanging="480"/>
      </w:pPr>
    </w:lvl>
    <w:lvl w:ilvl="3" w:tplc="0409000F" w:tentative="1">
      <w:start w:val="1"/>
      <w:numFmt w:val="decimal"/>
      <w:lvlText w:val="%4."/>
      <w:lvlJc w:val="left"/>
      <w:pPr>
        <w:tabs>
          <w:tab w:val="num" w:pos="3204"/>
        </w:tabs>
        <w:ind w:left="3204" w:hanging="480"/>
      </w:pPr>
    </w:lvl>
    <w:lvl w:ilvl="4" w:tplc="04090019" w:tentative="1">
      <w:start w:val="1"/>
      <w:numFmt w:val="ideographTraditional"/>
      <w:lvlText w:val="%5、"/>
      <w:lvlJc w:val="left"/>
      <w:pPr>
        <w:tabs>
          <w:tab w:val="num" w:pos="3684"/>
        </w:tabs>
        <w:ind w:left="3684" w:hanging="480"/>
      </w:pPr>
    </w:lvl>
    <w:lvl w:ilvl="5" w:tplc="0409001B" w:tentative="1">
      <w:start w:val="1"/>
      <w:numFmt w:val="lowerRoman"/>
      <w:lvlText w:val="%6."/>
      <w:lvlJc w:val="right"/>
      <w:pPr>
        <w:tabs>
          <w:tab w:val="num" w:pos="4164"/>
        </w:tabs>
        <w:ind w:left="4164" w:hanging="480"/>
      </w:pPr>
    </w:lvl>
    <w:lvl w:ilvl="6" w:tplc="0409000F" w:tentative="1">
      <w:start w:val="1"/>
      <w:numFmt w:val="decimal"/>
      <w:lvlText w:val="%7."/>
      <w:lvlJc w:val="left"/>
      <w:pPr>
        <w:tabs>
          <w:tab w:val="num" w:pos="4644"/>
        </w:tabs>
        <w:ind w:left="4644" w:hanging="480"/>
      </w:pPr>
    </w:lvl>
    <w:lvl w:ilvl="7" w:tplc="04090019" w:tentative="1">
      <w:start w:val="1"/>
      <w:numFmt w:val="ideographTraditional"/>
      <w:lvlText w:val="%8、"/>
      <w:lvlJc w:val="left"/>
      <w:pPr>
        <w:tabs>
          <w:tab w:val="num" w:pos="5124"/>
        </w:tabs>
        <w:ind w:left="5124" w:hanging="480"/>
      </w:pPr>
    </w:lvl>
    <w:lvl w:ilvl="8" w:tplc="0409001B" w:tentative="1">
      <w:start w:val="1"/>
      <w:numFmt w:val="lowerRoman"/>
      <w:lvlText w:val="%9."/>
      <w:lvlJc w:val="right"/>
      <w:pPr>
        <w:tabs>
          <w:tab w:val="num" w:pos="5604"/>
        </w:tabs>
        <w:ind w:left="5604" w:hanging="480"/>
      </w:pPr>
    </w:lvl>
  </w:abstractNum>
  <w:abstractNum w:abstractNumId="7" w15:restartNumberingAfterBreak="0">
    <w:nsid w:val="31036DEA"/>
    <w:multiLevelType w:val="hybridMultilevel"/>
    <w:tmpl w:val="62C815B0"/>
    <w:lvl w:ilvl="0" w:tplc="73169ED2">
      <w:start w:val="1"/>
      <w:numFmt w:val="taiwaneseCountingThousand"/>
      <w:lvlText w:val="第%1條"/>
      <w:lvlJc w:val="left"/>
      <w:pPr>
        <w:tabs>
          <w:tab w:val="num" w:pos="1200"/>
        </w:tabs>
        <w:ind w:left="1200" w:hanging="12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59D7AA4"/>
    <w:multiLevelType w:val="singleLevel"/>
    <w:tmpl w:val="7DB8835C"/>
    <w:lvl w:ilvl="0">
      <w:start w:val="1"/>
      <w:numFmt w:val="taiwaneseCountingThousand"/>
      <w:lvlText w:val="%1、"/>
      <w:lvlJc w:val="left"/>
      <w:pPr>
        <w:tabs>
          <w:tab w:val="num" w:pos="840"/>
        </w:tabs>
        <w:ind w:left="840" w:hanging="570"/>
      </w:pPr>
      <w:rPr>
        <w:rFonts w:hint="eastAsia"/>
      </w:rPr>
    </w:lvl>
  </w:abstractNum>
  <w:abstractNum w:abstractNumId="9" w15:restartNumberingAfterBreak="0">
    <w:nsid w:val="44EF4C04"/>
    <w:multiLevelType w:val="singleLevel"/>
    <w:tmpl w:val="F488A3FA"/>
    <w:lvl w:ilvl="0">
      <w:start w:val="1"/>
      <w:numFmt w:val="decimalFullWidth"/>
      <w:lvlText w:val="%1、"/>
      <w:legacy w:legacy="1" w:legacySpace="0" w:legacyIndent="425"/>
      <w:lvlJc w:val="left"/>
      <w:pPr>
        <w:ind w:left="1385" w:hanging="425"/>
      </w:pPr>
    </w:lvl>
  </w:abstractNum>
  <w:abstractNum w:abstractNumId="10" w15:restartNumberingAfterBreak="0">
    <w:nsid w:val="48162EC1"/>
    <w:multiLevelType w:val="singleLevel"/>
    <w:tmpl w:val="B9847AE4"/>
    <w:lvl w:ilvl="0">
      <w:start w:val="1"/>
      <w:numFmt w:val="taiwaneseCountingThousand"/>
      <w:lvlText w:val="%1、"/>
      <w:legacy w:legacy="1" w:legacySpace="0" w:legacyIndent="425"/>
      <w:lvlJc w:val="left"/>
      <w:pPr>
        <w:ind w:left="1680" w:hanging="425"/>
      </w:pPr>
    </w:lvl>
  </w:abstractNum>
  <w:abstractNum w:abstractNumId="11" w15:restartNumberingAfterBreak="0">
    <w:nsid w:val="523F75D7"/>
    <w:multiLevelType w:val="singleLevel"/>
    <w:tmpl w:val="16AC4B40"/>
    <w:lvl w:ilvl="0">
      <w:start w:val="1"/>
      <w:numFmt w:val="decimalFullWidth"/>
      <w:lvlText w:val="(%1)"/>
      <w:lvlJc w:val="left"/>
      <w:pPr>
        <w:tabs>
          <w:tab w:val="num" w:pos="1920"/>
        </w:tabs>
        <w:ind w:left="1920" w:hanging="480"/>
      </w:pPr>
      <w:rPr>
        <w:rFonts w:hint="eastAsia"/>
      </w:rPr>
    </w:lvl>
  </w:abstractNum>
  <w:abstractNum w:abstractNumId="12" w15:restartNumberingAfterBreak="0">
    <w:nsid w:val="5E146000"/>
    <w:multiLevelType w:val="singleLevel"/>
    <w:tmpl w:val="652CC74A"/>
    <w:lvl w:ilvl="0">
      <w:start w:val="2"/>
      <w:numFmt w:val="taiwaneseCountingThousand"/>
      <w:lvlText w:val="%1、"/>
      <w:legacy w:legacy="1" w:legacySpace="0" w:legacyIndent="425"/>
      <w:lvlJc w:val="left"/>
      <w:pPr>
        <w:ind w:left="1505" w:hanging="425"/>
      </w:pPr>
    </w:lvl>
  </w:abstractNum>
  <w:abstractNum w:abstractNumId="13" w15:restartNumberingAfterBreak="0">
    <w:nsid w:val="5FEA4BED"/>
    <w:multiLevelType w:val="singleLevel"/>
    <w:tmpl w:val="F542AD3C"/>
    <w:lvl w:ilvl="0">
      <w:start w:val="1"/>
      <w:numFmt w:val="taiwaneseCountingThousand"/>
      <w:lvlText w:val="%1、"/>
      <w:lvlJc w:val="left"/>
      <w:pPr>
        <w:tabs>
          <w:tab w:val="num" w:pos="885"/>
        </w:tabs>
        <w:ind w:left="885" w:hanging="585"/>
      </w:pPr>
      <w:rPr>
        <w:rFonts w:hint="eastAsia"/>
      </w:rPr>
    </w:lvl>
  </w:abstractNum>
  <w:abstractNum w:abstractNumId="14" w15:restartNumberingAfterBreak="0">
    <w:nsid w:val="62DA243B"/>
    <w:multiLevelType w:val="singleLevel"/>
    <w:tmpl w:val="2AA20002"/>
    <w:lvl w:ilvl="0">
      <w:start w:val="1"/>
      <w:numFmt w:val="taiwaneseCountingThousand"/>
      <w:lvlText w:val="%1、"/>
      <w:lvlJc w:val="left"/>
      <w:pPr>
        <w:tabs>
          <w:tab w:val="num" w:pos="885"/>
        </w:tabs>
        <w:ind w:left="885" w:hanging="585"/>
      </w:pPr>
      <w:rPr>
        <w:rFonts w:hint="eastAsia"/>
      </w:rPr>
    </w:lvl>
  </w:abstractNum>
  <w:abstractNum w:abstractNumId="15" w15:restartNumberingAfterBreak="0">
    <w:nsid w:val="6F6C50F5"/>
    <w:multiLevelType w:val="singleLevel"/>
    <w:tmpl w:val="1CF407C0"/>
    <w:lvl w:ilvl="0">
      <w:start w:val="1"/>
      <w:numFmt w:val="taiwaneseCountingThousand"/>
      <w:lvlText w:val="(%1)、"/>
      <w:legacy w:legacy="1" w:legacySpace="0" w:legacyIndent="425"/>
      <w:lvlJc w:val="left"/>
      <w:pPr>
        <w:ind w:left="1385" w:hanging="425"/>
      </w:pPr>
    </w:lvl>
  </w:abstractNum>
  <w:abstractNum w:abstractNumId="16" w15:restartNumberingAfterBreak="0">
    <w:nsid w:val="7245061D"/>
    <w:multiLevelType w:val="singleLevel"/>
    <w:tmpl w:val="B9847AE4"/>
    <w:lvl w:ilvl="0">
      <w:start w:val="1"/>
      <w:numFmt w:val="taiwaneseCountingThousand"/>
      <w:lvlText w:val="%1、"/>
      <w:legacy w:legacy="1" w:legacySpace="0" w:legacyIndent="425"/>
      <w:lvlJc w:val="left"/>
      <w:pPr>
        <w:ind w:left="1560" w:hanging="425"/>
      </w:pPr>
    </w:lvl>
  </w:abstractNum>
  <w:abstractNum w:abstractNumId="17" w15:restartNumberingAfterBreak="0">
    <w:nsid w:val="72DA63AC"/>
    <w:multiLevelType w:val="singleLevel"/>
    <w:tmpl w:val="1CF407C0"/>
    <w:lvl w:ilvl="0">
      <w:start w:val="1"/>
      <w:numFmt w:val="taiwaneseCountingThousand"/>
      <w:lvlText w:val="(%1)、"/>
      <w:legacy w:legacy="1" w:legacySpace="0" w:legacyIndent="425"/>
      <w:lvlJc w:val="left"/>
      <w:pPr>
        <w:ind w:left="905" w:hanging="425"/>
      </w:pPr>
    </w:lvl>
  </w:abstractNum>
  <w:abstractNum w:abstractNumId="18" w15:restartNumberingAfterBreak="0">
    <w:nsid w:val="7E265D05"/>
    <w:multiLevelType w:val="hybridMultilevel"/>
    <w:tmpl w:val="550C2994"/>
    <w:lvl w:ilvl="0" w:tplc="49745D80">
      <w:start w:val="1"/>
      <w:numFmt w:val="taiwaneseCountingThousand"/>
      <w:lvlText w:val="%1、"/>
      <w:lvlJc w:val="left"/>
      <w:pPr>
        <w:tabs>
          <w:tab w:val="num" w:pos="2004"/>
        </w:tabs>
        <w:ind w:left="2004" w:hanging="720"/>
      </w:pPr>
      <w:rPr>
        <w:rFonts w:hint="default"/>
      </w:rPr>
    </w:lvl>
    <w:lvl w:ilvl="1" w:tplc="04090019" w:tentative="1">
      <w:start w:val="1"/>
      <w:numFmt w:val="ideographTraditional"/>
      <w:lvlText w:val="%2、"/>
      <w:lvlJc w:val="left"/>
      <w:pPr>
        <w:tabs>
          <w:tab w:val="num" w:pos="2244"/>
        </w:tabs>
        <w:ind w:left="2244" w:hanging="480"/>
      </w:pPr>
    </w:lvl>
    <w:lvl w:ilvl="2" w:tplc="0409001B" w:tentative="1">
      <w:start w:val="1"/>
      <w:numFmt w:val="lowerRoman"/>
      <w:lvlText w:val="%3."/>
      <w:lvlJc w:val="right"/>
      <w:pPr>
        <w:tabs>
          <w:tab w:val="num" w:pos="2724"/>
        </w:tabs>
        <w:ind w:left="2724" w:hanging="480"/>
      </w:pPr>
    </w:lvl>
    <w:lvl w:ilvl="3" w:tplc="0409000F" w:tentative="1">
      <w:start w:val="1"/>
      <w:numFmt w:val="decimal"/>
      <w:lvlText w:val="%4."/>
      <w:lvlJc w:val="left"/>
      <w:pPr>
        <w:tabs>
          <w:tab w:val="num" w:pos="3204"/>
        </w:tabs>
        <w:ind w:left="3204" w:hanging="480"/>
      </w:pPr>
    </w:lvl>
    <w:lvl w:ilvl="4" w:tplc="04090019" w:tentative="1">
      <w:start w:val="1"/>
      <w:numFmt w:val="ideographTraditional"/>
      <w:lvlText w:val="%5、"/>
      <w:lvlJc w:val="left"/>
      <w:pPr>
        <w:tabs>
          <w:tab w:val="num" w:pos="3684"/>
        </w:tabs>
        <w:ind w:left="3684" w:hanging="480"/>
      </w:pPr>
    </w:lvl>
    <w:lvl w:ilvl="5" w:tplc="0409001B" w:tentative="1">
      <w:start w:val="1"/>
      <w:numFmt w:val="lowerRoman"/>
      <w:lvlText w:val="%6."/>
      <w:lvlJc w:val="right"/>
      <w:pPr>
        <w:tabs>
          <w:tab w:val="num" w:pos="4164"/>
        </w:tabs>
        <w:ind w:left="4164" w:hanging="480"/>
      </w:pPr>
    </w:lvl>
    <w:lvl w:ilvl="6" w:tplc="0409000F" w:tentative="1">
      <w:start w:val="1"/>
      <w:numFmt w:val="decimal"/>
      <w:lvlText w:val="%7."/>
      <w:lvlJc w:val="left"/>
      <w:pPr>
        <w:tabs>
          <w:tab w:val="num" w:pos="4644"/>
        </w:tabs>
        <w:ind w:left="4644" w:hanging="480"/>
      </w:pPr>
    </w:lvl>
    <w:lvl w:ilvl="7" w:tplc="04090019" w:tentative="1">
      <w:start w:val="1"/>
      <w:numFmt w:val="ideographTraditional"/>
      <w:lvlText w:val="%8、"/>
      <w:lvlJc w:val="left"/>
      <w:pPr>
        <w:tabs>
          <w:tab w:val="num" w:pos="5124"/>
        </w:tabs>
        <w:ind w:left="5124" w:hanging="480"/>
      </w:pPr>
    </w:lvl>
    <w:lvl w:ilvl="8" w:tplc="0409001B" w:tentative="1">
      <w:start w:val="1"/>
      <w:numFmt w:val="lowerRoman"/>
      <w:lvlText w:val="%9."/>
      <w:lvlJc w:val="right"/>
      <w:pPr>
        <w:tabs>
          <w:tab w:val="num" w:pos="5604"/>
        </w:tabs>
        <w:ind w:left="5604" w:hanging="480"/>
      </w:pPr>
    </w:lvl>
  </w:abstractNum>
  <w:num w:numId="1">
    <w:abstractNumId w:val="15"/>
  </w:num>
  <w:num w:numId="2">
    <w:abstractNumId w:val="10"/>
  </w:num>
  <w:num w:numId="3">
    <w:abstractNumId w:val="16"/>
  </w:num>
  <w:num w:numId="4">
    <w:abstractNumId w:val="12"/>
  </w:num>
  <w:num w:numId="5">
    <w:abstractNumId w:val="17"/>
  </w:num>
  <w:num w:numId="6">
    <w:abstractNumId w:val="9"/>
  </w:num>
  <w:num w:numId="7">
    <w:abstractNumId w:val="2"/>
  </w:num>
  <w:num w:numId="8">
    <w:abstractNumId w:val="11"/>
  </w:num>
  <w:num w:numId="9">
    <w:abstractNumId w:val="14"/>
  </w:num>
  <w:num w:numId="10">
    <w:abstractNumId w:val="13"/>
  </w:num>
  <w:num w:numId="11">
    <w:abstractNumId w:val="8"/>
  </w:num>
  <w:num w:numId="12">
    <w:abstractNumId w:val="4"/>
  </w:num>
  <w:num w:numId="13">
    <w:abstractNumId w:val="7"/>
  </w:num>
  <w:num w:numId="14">
    <w:abstractNumId w:val="5"/>
  </w:num>
  <w:num w:numId="15">
    <w:abstractNumId w:val="1"/>
  </w:num>
  <w:num w:numId="16">
    <w:abstractNumId w:val="0"/>
  </w:num>
  <w:num w:numId="17">
    <w:abstractNumId w:val="6"/>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A9"/>
    <w:rsid w:val="00064753"/>
    <w:rsid w:val="0006729C"/>
    <w:rsid w:val="00071817"/>
    <w:rsid w:val="000928F1"/>
    <w:rsid w:val="000952B3"/>
    <w:rsid w:val="000A0794"/>
    <w:rsid w:val="000E6619"/>
    <w:rsid w:val="000F6185"/>
    <w:rsid w:val="00116DC2"/>
    <w:rsid w:val="00134721"/>
    <w:rsid w:val="00147327"/>
    <w:rsid w:val="0017627F"/>
    <w:rsid w:val="001A0CDB"/>
    <w:rsid w:val="001C1864"/>
    <w:rsid w:val="00251804"/>
    <w:rsid w:val="002535DA"/>
    <w:rsid w:val="00261DB1"/>
    <w:rsid w:val="00284918"/>
    <w:rsid w:val="002B7CFC"/>
    <w:rsid w:val="002E16E9"/>
    <w:rsid w:val="00307282"/>
    <w:rsid w:val="00321A06"/>
    <w:rsid w:val="00343D11"/>
    <w:rsid w:val="003679A3"/>
    <w:rsid w:val="00392DE5"/>
    <w:rsid w:val="00393386"/>
    <w:rsid w:val="003A6E0F"/>
    <w:rsid w:val="003A747D"/>
    <w:rsid w:val="00404633"/>
    <w:rsid w:val="0044710C"/>
    <w:rsid w:val="004717EF"/>
    <w:rsid w:val="004876E9"/>
    <w:rsid w:val="004949DC"/>
    <w:rsid w:val="004A75F5"/>
    <w:rsid w:val="004D4D1F"/>
    <w:rsid w:val="005124EA"/>
    <w:rsid w:val="00535FAD"/>
    <w:rsid w:val="00572846"/>
    <w:rsid w:val="00577D74"/>
    <w:rsid w:val="005B4446"/>
    <w:rsid w:val="005C417B"/>
    <w:rsid w:val="005F49B9"/>
    <w:rsid w:val="00602337"/>
    <w:rsid w:val="00612097"/>
    <w:rsid w:val="00631871"/>
    <w:rsid w:val="006552E7"/>
    <w:rsid w:val="006677F6"/>
    <w:rsid w:val="00675380"/>
    <w:rsid w:val="00694FB0"/>
    <w:rsid w:val="006B35A7"/>
    <w:rsid w:val="006D08B6"/>
    <w:rsid w:val="006E3BAF"/>
    <w:rsid w:val="00705C50"/>
    <w:rsid w:val="007421B2"/>
    <w:rsid w:val="00744388"/>
    <w:rsid w:val="00745587"/>
    <w:rsid w:val="007605D9"/>
    <w:rsid w:val="00776E6E"/>
    <w:rsid w:val="00785E54"/>
    <w:rsid w:val="007971AA"/>
    <w:rsid w:val="007A2BF2"/>
    <w:rsid w:val="007A51AF"/>
    <w:rsid w:val="007C3D42"/>
    <w:rsid w:val="007C5D78"/>
    <w:rsid w:val="007D2B11"/>
    <w:rsid w:val="007D3771"/>
    <w:rsid w:val="007E3448"/>
    <w:rsid w:val="008438AC"/>
    <w:rsid w:val="008711A5"/>
    <w:rsid w:val="0088305E"/>
    <w:rsid w:val="008945F8"/>
    <w:rsid w:val="008A6FF9"/>
    <w:rsid w:val="008B7A77"/>
    <w:rsid w:val="0092607C"/>
    <w:rsid w:val="00961B58"/>
    <w:rsid w:val="00976BEC"/>
    <w:rsid w:val="00982C92"/>
    <w:rsid w:val="0098412F"/>
    <w:rsid w:val="00985E95"/>
    <w:rsid w:val="00997DA8"/>
    <w:rsid w:val="009A43F9"/>
    <w:rsid w:val="009B7E6E"/>
    <w:rsid w:val="009E202F"/>
    <w:rsid w:val="00A03D89"/>
    <w:rsid w:val="00A20AB2"/>
    <w:rsid w:val="00A244FE"/>
    <w:rsid w:val="00A504D3"/>
    <w:rsid w:val="00A72AA7"/>
    <w:rsid w:val="00A85B51"/>
    <w:rsid w:val="00AC3A9F"/>
    <w:rsid w:val="00AC7BF2"/>
    <w:rsid w:val="00AF5E00"/>
    <w:rsid w:val="00B20430"/>
    <w:rsid w:val="00B51BB9"/>
    <w:rsid w:val="00B53255"/>
    <w:rsid w:val="00B566A9"/>
    <w:rsid w:val="00B608DA"/>
    <w:rsid w:val="00B70CA6"/>
    <w:rsid w:val="00B91619"/>
    <w:rsid w:val="00B9288A"/>
    <w:rsid w:val="00BA14D0"/>
    <w:rsid w:val="00BD140F"/>
    <w:rsid w:val="00BD4CD5"/>
    <w:rsid w:val="00BF1C5A"/>
    <w:rsid w:val="00BF4C33"/>
    <w:rsid w:val="00C5379C"/>
    <w:rsid w:val="00C61DBC"/>
    <w:rsid w:val="00C64948"/>
    <w:rsid w:val="00C66897"/>
    <w:rsid w:val="00C74C69"/>
    <w:rsid w:val="00C75FED"/>
    <w:rsid w:val="00C762A5"/>
    <w:rsid w:val="00CA7206"/>
    <w:rsid w:val="00CB06F7"/>
    <w:rsid w:val="00CB60E7"/>
    <w:rsid w:val="00CD0C82"/>
    <w:rsid w:val="00D10BF6"/>
    <w:rsid w:val="00D415AA"/>
    <w:rsid w:val="00D4509F"/>
    <w:rsid w:val="00D52D37"/>
    <w:rsid w:val="00D64239"/>
    <w:rsid w:val="00D65409"/>
    <w:rsid w:val="00D76916"/>
    <w:rsid w:val="00DB3D4A"/>
    <w:rsid w:val="00DC3170"/>
    <w:rsid w:val="00DF324A"/>
    <w:rsid w:val="00E36F96"/>
    <w:rsid w:val="00E66F02"/>
    <w:rsid w:val="00E71FAE"/>
    <w:rsid w:val="00E970DA"/>
    <w:rsid w:val="00EB0425"/>
    <w:rsid w:val="00EF401D"/>
    <w:rsid w:val="00EF5C36"/>
    <w:rsid w:val="00F23860"/>
    <w:rsid w:val="00F84448"/>
    <w:rsid w:val="00FA1D74"/>
    <w:rsid w:val="00FA4DA9"/>
    <w:rsid w:val="00FA7074"/>
    <w:rsid w:val="00FC2095"/>
    <w:rsid w:val="00FE5F99"/>
    <w:rsid w:val="00FE63DB"/>
    <w:rsid w:val="00FE6FD5"/>
    <w:rsid w:val="00FE7C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BE2096-F8AA-4FA8-B38E-9226CB82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A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縮排一"/>
    <w:rsid w:val="00AC3A9F"/>
    <w:pPr>
      <w:tabs>
        <w:tab w:val="num" w:pos="1398"/>
      </w:tabs>
      <w:adjustRightInd w:val="0"/>
      <w:snapToGrid w:val="0"/>
      <w:ind w:left="953" w:hanging="635"/>
    </w:pPr>
    <w:rPr>
      <w:rFonts w:eastAsia="標楷體"/>
      <w:noProof/>
      <w:sz w:val="32"/>
    </w:rPr>
  </w:style>
  <w:style w:type="paragraph" w:styleId="2">
    <w:name w:val="Body Text 2"/>
    <w:basedOn w:val="a"/>
    <w:rsid w:val="00AC3A9F"/>
    <w:pPr>
      <w:spacing w:line="300" w:lineRule="exact"/>
      <w:jc w:val="both"/>
    </w:pPr>
    <w:rPr>
      <w:rFonts w:ascii="標楷體" w:eastAsia="標楷體"/>
      <w:sz w:val="32"/>
    </w:rPr>
  </w:style>
  <w:style w:type="paragraph" w:styleId="3">
    <w:name w:val="Body Text Indent 3"/>
    <w:basedOn w:val="a"/>
    <w:rsid w:val="00AC3A9F"/>
    <w:pPr>
      <w:adjustRightInd w:val="0"/>
      <w:spacing w:line="360" w:lineRule="exact"/>
      <w:ind w:left="812" w:hanging="532"/>
      <w:textDirection w:val="lrTbV"/>
      <w:textAlignment w:val="baseline"/>
    </w:pPr>
    <w:rPr>
      <w:rFonts w:ascii="華康楷書體W3" w:eastAsia="華康楷書體W3" w:hAnsi="Bodoni BT"/>
      <w:spacing w:val="6"/>
      <w:kern w:val="0"/>
      <w:sz w:val="28"/>
      <w:szCs w:val="20"/>
    </w:rPr>
  </w:style>
  <w:style w:type="paragraph" w:styleId="20">
    <w:name w:val="Body Text Indent 2"/>
    <w:basedOn w:val="a"/>
    <w:rsid w:val="00AC3A9F"/>
    <w:pPr>
      <w:adjustRightInd w:val="0"/>
      <w:spacing w:line="360" w:lineRule="atLeast"/>
      <w:ind w:left="1440" w:hanging="1440"/>
      <w:textDirection w:val="lrTbV"/>
      <w:textAlignment w:val="baseline"/>
    </w:pPr>
    <w:rPr>
      <w:rFonts w:ascii="Bodoni BT" w:hAnsi="Bodoni BT"/>
      <w:spacing w:val="20"/>
      <w:kern w:val="0"/>
      <w:szCs w:val="20"/>
    </w:rPr>
  </w:style>
  <w:style w:type="paragraph" w:styleId="a4">
    <w:name w:val="Body Text Indent"/>
    <w:basedOn w:val="a"/>
    <w:rsid w:val="00AC3A9F"/>
    <w:pPr>
      <w:adjustRightInd w:val="0"/>
      <w:spacing w:line="360" w:lineRule="atLeast"/>
      <w:ind w:left="1610"/>
      <w:textDirection w:val="lrTbV"/>
      <w:textAlignment w:val="baseline"/>
    </w:pPr>
    <w:rPr>
      <w:rFonts w:ascii="Bodoni BT" w:hAnsi="Bodoni BT"/>
      <w:spacing w:val="20"/>
      <w:kern w:val="0"/>
      <w:szCs w:val="20"/>
    </w:rPr>
  </w:style>
  <w:style w:type="paragraph" w:styleId="a5">
    <w:name w:val="Plain Text"/>
    <w:basedOn w:val="a"/>
    <w:rsid w:val="00AC3A9F"/>
    <w:pPr>
      <w:adjustRightInd w:val="0"/>
      <w:spacing w:line="360" w:lineRule="atLeast"/>
      <w:textAlignment w:val="baseline"/>
    </w:pPr>
    <w:rPr>
      <w:rFonts w:ascii="細明體" w:eastAsia="細明體" w:hAnsi="Courier 10cpi"/>
      <w:kern w:val="0"/>
      <w:szCs w:val="20"/>
    </w:rPr>
  </w:style>
  <w:style w:type="paragraph" w:styleId="a6">
    <w:name w:val="footer"/>
    <w:basedOn w:val="a"/>
    <w:rsid w:val="00AC3A9F"/>
    <w:pPr>
      <w:tabs>
        <w:tab w:val="center" w:pos="4153"/>
        <w:tab w:val="right" w:pos="8306"/>
      </w:tabs>
      <w:snapToGrid w:val="0"/>
    </w:pPr>
    <w:rPr>
      <w:sz w:val="20"/>
      <w:szCs w:val="20"/>
    </w:rPr>
  </w:style>
  <w:style w:type="character" w:styleId="a7">
    <w:name w:val="page number"/>
    <w:basedOn w:val="a0"/>
    <w:rsid w:val="00AC3A9F"/>
  </w:style>
  <w:style w:type="paragraph" w:styleId="a8">
    <w:name w:val="header"/>
    <w:basedOn w:val="a"/>
    <w:rsid w:val="00AC3A9F"/>
    <w:pPr>
      <w:tabs>
        <w:tab w:val="center" w:pos="4153"/>
        <w:tab w:val="right" w:pos="8306"/>
      </w:tabs>
      <w:snapToGrid w:val="0"/>
    </w:pPr>
    <w:rPr>
      <w:sz w:val="20"/>
      <w:szCs w:val="20"/>
    </w:rPr>
  </w:style>
  <w:style w:type="paragraph" w:customStyle="1" w:styleId="a9">
    <w:name w:val="條"/>
    <w:basedOn w:val="a"/>
    <w:rsid w:val="00B566A9"/>
    <w:pPr>
      <w:spacing w:line="500" w:lineRule="exact"/>
      <w:ind w:leftChars="2" w:left="965" w:hangingChars="300" w:hanging="960"/>
      <w:jc w:val="both"/>
    </w:pPr>
    <w:rPr>
      <w:rFonts w:ascii="標楷體" w:eastAsia="標楷體"/>
      <w:sz w:val="32"/>
    </w:rPr>
  </w:style>
  <w:style w:type="paragraph" w:customStyle="1" w:styleId="aa">
    <w:name w:val="(一)"/>
    <w:basedOn w:val="a"/>
    <w:rsid w:val="00A244FE"/>
    <w:pPr>
      <w:spacing w:line="500" w:lineRule="exact"/>
      <w:ind w:leftChars="347" w:left="647" w:hangingChars="300" w:hanging="300"/>
      <w:jc w:val="both"/>
    </w:pPr>
    <w:rPr>
      <w:rFonts w:eastAsia="標楷體"/>
      <w:sz w:val="32"/>
    </w:rPr>
  </w:style>
  <w:style w:type="paragraph" w:styleId="ab">
    <w:name w:val="Balloon Text"/>
    <w:basedOn w:val="a"/>
    <w:semiHidden/>
    <w:rsid w:val="00D64239"/>
    <w:rPr>
      <w:rFonts w:ascii="Arial" w:hAnsi="Arial"/>
      <w:sz w:val="18"/>
      <w:szCs w:val="18"/>
    </w:rPr>
  </w:style>
  <w:style w:type="character" w:styleId="ac">
    <w:name w:val="Strong"/>
    <w:basedOn w:val="a0"/>
    <w:qFormat/>
    <w:rsid w:val="00404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616</Words>
  <Characters>3513</Characters>
  <Application>Microsoft Office Word</Application>
  <DocSecurity>0</DocSecurity>
  <Lines>29</Lines>
  <Paragraphs>8</Paragraphs>
  <ScaleCrop>false</ScaleCrop>
  <Company>bot</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臺灣銀行行員升遷辦法</dc:title>
  <dc:creator>bot</dc:creator>
  <cp:lastModifiedBy>李宗賢(834244)</cp:lastModifiedBy>
  <cp:revision>2</cp:revision>
  <cp:lastPrinted>2015-10-21T05:35:00Z</cp:lastPrinted>
  <dcterms:created xsi:type="dcterms:W3CDTF">2016-11-24T09:28:00Z</dcterms:created>
  <dcterms:modified xsi:type="dcterms:W3CDTF">2016-11-24T09:28:00Z</dcterms:modified>
</cp:coreProperties>
</file>